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2414" w14:textId="02871C0C" w:rsidR="00E327B3" w:rsidRPr="00E327B3" w:rsidRDefault="00DE4FA1" w:rsidP="227F8018">
      <w:pPr>
        <w:keepNext/>
        <w:spacing w:after="200" w:line="264" w:lineRule="auto"/>
        <w:outlineLvl w:val="1"/>
        <w:rPr>
          <w:rFonts w:cs="Arial"/>
          <w:b/>
          <w:bCs/>
          <w:sz w:val="32"/>
          <w:szCs w:val="32"/>
        </w:rPr>
      </w:pPr>
      <w:r w:rsidRPr="227F8018">
        <w:rPr>
          <w:rFonts w:cs="Arial"/>
          <w:b/>
          <w:bCs/>
          <w:sz w:val="32"/>
          <w:szCs w:val="32"/>
        </w:rPr>
        <w:t>Primary School Courses 20</w:t>
      </w:r>
      <w:r w:rsidR="00CE6A70" w:rsidRPr="227F8018">
        <w:rPr>
          <w:rFonts w:cs="Arial"/>
          <w:b/>
          <w:bCs/>
          <w:sz w:val="32"/>
          <w:szCs w:val="32"/>
        </w:rPr>
        <w:t>2</w:t>
      </w:r>
      <w:r w:rsidR="5321E0FA" w:rsidRPr="227F8018">
        <w:rPr>
          <w:rFonts w:cs="Arial"/>
          <w:b/>
          <w:bCs/>
          <w:sz w:val="32"/>
          <w:szCs w:val="32"/>
        </w:rPr>
        <w:t>5</w:t>
      </w:r>
      <w:r w:rsidRPr="227F8018">
        <w:rPr>
          <w:rFonts w:cs="Arial"/>
          <w:b/>
          <w:bCs/>
          <w:sz w:val="32"/>
          <w:szCs w:val="32"/>
        </w:rPr>
        <w:t xml:space="preserve"> - 202</w:t>
      </w:r>
      <w:r w:rsidR="4E11068C" w:rsidRPr="227F8018">
        <w:rPr>
          <w:rFonts w:cs="Arial"/>
          <w:b/>
          <w:bCs/>
          <w:sz w:val="32"/>
          <w:szCs w:val="32"/>
        </w:rPr>
        <w:t>6</w:t>
      </w:r>
    </w:p>
    <w:p w14:paraId="79F6ECE0" w14:textId="77777777" w:rsidR="00E327B3" w:rsidRPr="00E327B3" w:rsidRDefault="00E327B3" w:rsidP="00E327B3">
      <w:pPr>
        <w:spacing w:line="264" w:lineRule="auto"/>
      </w:pPr>
      <w:r w:rsidRPr="00E327B3">
        <w:t xml:space="preserve">We offer </w:t>
      </w:r>
      <w:proofErr w:type="gramStart"/>
      <w:r w:rsidRPr="00E327B3">
        <w:t>a number of</w:t>
      </w:r>
      <w:proofErr w:type="gramEnd"/>
      <w:r w:rsidRPr="00E327B3">
        <w:t xml:space="preserve"> different courses designed for Primary schools:</w:t>
      </w:r>
    </w:p>
    <w:p w14:paraId="10EA56DF" w14:textId="343B4F68" w:rsidR="00E327B3" w:rsidRDefault="00E327B3" w:rsidP="00E327B3">
      <w:pPr>
        <w:numPr>
          <w:ilvl w:val="0"/>
          <w:numId w:val="1"/>
        </w:numPr>
        <w:spacing w:line="264" w:lineRule="auto"/>
        <w:contextualSpacing/>
      </w:pPr>
      <w:r>
        <w:t>5-day courses (</w:t>
      </w:r>
      <w:r w:rsidRPr="4888F7EE">
        <w:rPr>
          <w:i/>
          <w:iCs/>
        </w:rPr>
        <w:t>Discover</w:t>
      </w:r>
      <w:r w:rsidR="651884DD" w:rsidRPr="4888F7EE">
        <w:rPr>
          <w:i/>
          <w:iCs/>
        </w:rPr>
        <w:t xml:space="preserve"> and </w:t>
      </w:r>
      <w:r w:rsidRPr="4888F7EE">
        <w:rPr>
          <w:i/>
          <w:iCs/>
        </w:rPr>
        <w:t>Explore</w:t>
      </w:r>
      <w:r>
        <w:t>), each focuse</w:t>
      </w:r>
      <w:r w:rsidR="00B04DE2">
        <w:t>d on specific learning outcomes</w:t>
      </w:r>
      <w:r>
        <w:t xml:space="preserve"> </w:t>
      </w:r>
    </w:p>
    <w:p w14:paraId="0913687B" w14:textId="77777777" w:rsidR="008B0914" w:rsidRPr="00E327B3" w:rsidRDefault="008B0914" w:rsidP="00E91135">
      <w:pPr>
        <w:numPr>
          <w:ilvl w:val="0"/>
          <w:numId w:val="1"/>
        </w:numPr>
        <w:spacing w:line="264" w:lineRule="auto"/>
        <w:contextualSpacing/>
      </w:pPr>
      <w:r>
        <w:t>3 Day Courses (</w:t>
      </w:r>
      <w:r w:rsidRPr="4888F7EE">
        <w:rPr>
          <w:i/>
          <w:iCs/>
        </w:rPr>
        <w:t>Discover and Explore</w:t>
      </w:r>
      <w:r>
        <w:t>)</w:t>
      </w:r>
      <w:r w:rsidR="00735ABB">
        <w:t xml:space="preserve"> now </w:t>
      </w:r>
      <w:r w:rsidR="009C6E36">
        <w:t>available</w:t>
      </w:r>
      <w:r w:rsidR="00735ABB">
        <w:t xml:space="preserve"> in low and mid-</w:t>
      </w:r>
      <w:r w:rsidR="00B04DE2">
        <w:t>season</w:t>
      </w:r>
    </w:p>
    <w:p w14:paraId="489BE464" w14:textId="77777777" w:rsidR="00E327B3" w:rsidRPr="00E327B3" w:rsidRDefault="008B0914" w:rsidP="00E327B3">
      <w:pPr>
        <w:numPr>
          <w:ilvl w:val="0"/>
          <w:numId w:val="1"/>
        </w:numPr>
        <w:spacing w:line="264" w:lineRule="auto"/>
        <w:contextualSpacing/>
      </w:pPr>
      <w:r>
        <w:t>W</w:t>
      </w:r>
      <w:r w:rsidR="00E327B3" w:rsidRPr="00E327B3">
        <w:t>eekend course</w:t>
      </w:r>
      <w:r>
        <w:t>s</w:t>
      </w:r>
      <w:r w:rsidR="00E327B3" w:rsidRPr="00E327B3">
        <w:t xml:space="preserve"> including a range of outdoor </w:t>
      </w:r>
      <w:r>
        <w:t xml:space="preserve">adventure </w:t>
      </w:r>
      <w:r w:rsidR="00E327B3" w:rsidRPr="00E327B3">
        <w:t>activities</w:t>
      </w:r>
    </w:p>
    <w:p w14:paraId="1F95A287" w14:textId="77777777" w:rsidR="00E327B3" w:rsidRPr="00E327B3" w:rsidRDefault="008B0914" w:rsidP="00E327B3">
      <w:pPr>
        <w:numPr>
          <w:ilvl w:val="0"/>
          <w:numId w:val="1"/>
        </w:numPr>
        <w:spacing w:line="264" w:lineRule="auto"/>
        <w:contextualSpacing/>
      </w:pPr>
      <w:r>
        <w:t xml:space="preserve">Bespoke </w:t>
      </w:r>
      <w:r w:rsidR="00E327B3" w:rsidRPr="00E327B3">
        <w:t>courses customised to meet specific re</w:t>
      </w:r>
      <w:r w:rsidR="00B04DE2">
        <w:t>quirements</w:t>
      </w:r>
    </w:p>
    <w:p w14:paraId="4A88D27C" w14:textId="77777777" w:rsidR="00E327B3" w:rsidRPr="00E327B3" w:rsidRDefault="00E327B3" w:rsidP="00E327B3">
      <w:pPr>
        <w:spacing w:line="264" w:lineRule="auto"/>
      </w:pPr>
    </w:p>
    <w:p w14:paraId="7DFFB6C9" w14:textId="77777777" w:rsidR="00E327B3" w:rsidRPr="00E327B3" w:rsidRDefault="00E327B3" w:rsidP="00E327B3">
      <w:pPr>
        <w:spacing w:line="264" w:lineRule="auto"/>
      </w:pPr>
      <w:proofErr w:type="gramStart"/>
      <w:r w:rsidRPr="00E327B3">
        <w:t>All of</w:t>
      </w:r>
      <w:proofErr w:type="gramEnd"/>
      <w:r w:rsidRPr="00E327B3">
        <w:t xml:space="preserve"> our courses use challenging outdoor activities in</w:t>
      </w:r>
      <w:r w:rsidR="00983168">
        <w:t xml:space="preserve"> the </w:t>
      </w:r>
      <w:r w:rsidRPr="00E327B3">
        <w:t xml:space="preserve">beautiful natural setting </w:t>
      </w:r>
      <w:r w:rsidR="00983168">
        <w:t>of the Lake District</w:t>
      </w:r>
      <w:r w:rsidR="00735ABB">
        <w:t xml:space="preserve"> National Park World Heritage Site</w:t>
      </w:r>
      <w:r w:rsidR="00983168">
        <w:t xml:space="preserve">, </w:t>
      </w:r>
      <w:r w:rsidRPr="00E327B3">
        <w:t xml:space="preserve">as a vehicle for learning and development.  </w:t>
      </w:r>
      <w:r w:rsidR="00B04DE2">
        <w:t>We</w:t>
      </w:r>
      <w:r w:rsidRPr="00E327B3">
        <w:t xml:space="preserve"> help pupils to develop awareness of and respect for themselves, other people and the natural environment.</w:t>
      </w:r>
    </w:p>
    <w:p w14:paraId="561431C2" w14:textId="77777777" w:rsidR="00E327B3" w:rsidRDefault="00E327B3" w:rsidP="00E327B3">
      <w:pPr>
        <w:spacing w:line="264" w:lineRule="auto"/>
      </w:pPr>
    </w:p>
    <w:p w14:paraId="5FC5B950" w14:textId="77777777" w:rsidR="00E327B3" w:rsidRPr="00E327B3" w:rsidRDefault="00E327B3" w:rsidP="00E327B3">
      <w:pPr>
        <w:spacing w:line="264" w:lineRule="auto"/>
        <w:rPr>
          <w:b/>
        </w:rPr>
      </w:pPr>
      <w:r w:rsidRPr="00E327B3">
        <w:rPr>
          <w:b/>
        </w:rPr>
        <w:t>5-day courses</w:t>
      </w:r>
    </w:p>
    <w:p w14:paraId="3F632A19" w14:textId="77777777" w:rsidR="00485CD6" w:rsidRPr="00E327B3" w:rsidRDefault="00E327B3" w:rsidP="00E327B3">
      <w:pPr>
        <w:spacing w:line="264" w:lineRule="auto"/>
        <w:rPr>
          <w:rFonts w:cs="Arial"/>
          <w:szCs w:val="22"/>
        </w:rPr>
      </w:pPr>
      <w:r w:rsidRPr="00E327B3">
        <w:rPr>
          <w:rFonts w:cs="Arial"/>
          <w:szCs w:val="22"/>
        </w:rPr>
        <w:t>5-day courses normally run from 1</w:t>
      </w:r>
      <w:r w:rsidR="00674780">
        <w:rPr>
          <w:rFonts w:cs="Arial"/>
          <w:szCs w:val="22"/>
        </w:rPr>
        <w:t>0</w:t>
      </w:r>
      <w:r w:rsidRPr="00E327B3">
        <w:rPr>
          <w:rFonts w:cs="Arial"/>
          <w:szCs w:val="22"/>
        </w:rPr>
        <w:t>.30 am on Monday to 1.30 pm on Friday.</w:t>
      </w:r>
    </w:p>
    <w:p w14:paraId="5A52DA78" w14:textId="77777777" w:rsidR="00E327B3" w:rsidRPr="00E327B3" w:rsidRDefault="00E327B3" w:rsidP="00E327B3">
      <w:pPr>
        <w:spacing w:line="264" w:lineRule="auto"/>
      </w:pPr>
    </w:p>
    <w:p w14:paraId="3794222F" w14:textId="77777777" w:rsidR="008B0914" w:rsidRDefault="00E327B3" w:rsidP="00E327B3">
      <w:pPr>
        <w:spacing w:line="264" w:lineRule="auto"/>
      </w:pPr>
      <w:r w:rsidRPr="00E327B3">
        <w:t xml:space="preserve">The </w:t>
      </w:r>
      <w:r w:rsidRPr="00E327B3">
        <w:rPr>
          <w:i/>
        </w:rPr>
        <w:t>Discover</w:t>
      </w:r>
      <w:r w:rsidRPr="00E327B3">
        <w:t xml:space="preserve"> course is aimed particularly at young pupils, in Years 4 or 5, as an introductory residential experience.  They will enjoy new experiences, explore the natural environment, take first steps to independence and gain personal confidence. </w:t>
      </w:r>
    </w:p>
    <w:p w14:paraId="48F030D4" w14:textId="77777777" w:rsidR="008B0914" w:rsidRPr="00E327B3" w:rsidRDefault="008B0914" w:rsidP="00E327B3">
      <w:pPr>
        <w:spacing w:line="264" w:lineRule="auto"/>
      </w:pPr>
    </w:p>
    <w:p w14:paraId="418E00FE" w14:textId="77777777" w:rsidR="00E327B3" w:rsidRDefault="00E327B3" w:rsidP="00E327B3">
      <w:pPr>
        <w:shd w:val="clear" w:color="auto" w:fill="FFFFFF"/>
        <w:spacing w:after="60" w:line="264" w:lineRule="auto"/>
        <w:outlineLvl w:val="4"/>
      </w:pPr>
      <w:r w:rsidRPr="00E327B3">
        <w:t xml:space="preserve">The </w:t>
      </w:r>
      <w:r w:rsidRPr="00E327B3">
        <w:rPr>
          <w:i/>
        </w:rPr>
        <w:t>Explore</w:t>
      </w:r>
      <w:r w:rsidRPr="00E327B3">
        <w:t xml:space="preserve"> course is ideal for pupils in Years 5 or 6.  During an Explore course they will develop self-awareness and social skills; increase personal confidence through successfully meeting new challenges; develop personal responsibility; develop cooperation, trust and support in a team; experience awe and wonder at the natural world; understand the importance of a healthy lifestyle.</w:t>
      </w:r>
    </w:p>
    <w:p w14:paraId="7FC8F127" w14:textId="77777777" w:rsidR="00D92DD2" w:rsidRDefault="00D92DD2" w:rsidP="00F825C9">
      <w:pPr>
        <w:spacing w:line="264" w:lineRule="auto"/>
      </w:pPr>
    </w:p>
    <w:p w14:paraId="39E9A85E" w14:textId="2DE3A886" w:rsidR="00E327B3" w:rsidRPr="00E327B3" w:rsidRDefault="00E327B3" w:rsidP="4CA51072">
      <w:pPr>
        <w:shd w:val="clear" w:color="auto" w:fill="FFFFFF" w:themeFill="background1"/>
        <w:spacing w:after="240" w:line="264" w:lineRule="auto"/>
        <w:outlineLvl w:val="4"/>
        <w:rPr>
          <w:b/>
          <w:bCs/>
        </w:rPr>
      </w:pPr>
      <w:r>
        <w:t>Further details of these courses are on our website:</w:t>
      </w:r>
    </w:p>
    <w:p w14:paraId="53ECE93A" w14:textId="6AFE3AB8" w:rsidR="00E327B3" w:rsidRPr="00E327B3" w:rsidRDefault="00566B5D" w:rsidP="4CA51072">
      <w:pPr>
        <w:spacing w:line="264" w:lineRule="auto"/>
        <w:ind w:left="720" w:firstLine="720"/>
      </w:pPr>
      <w:hyperlink r:id="rId11">
        <w:r w:rsidR="00E327B3" w:rsidRPr="4CA51072">
          <w:rPr>
            <w:rStyle w:val="Hyperlink"/>
          </w:rPr>
          <w:t>Discover</w:t>
        </w:r>
      </w:hyperlink>
      <w:r w:rsidR="008C0B2F">
        <w:tab/>
      </w:r>
      <w:r w:rsidR="008C0B2F">
        <w:tab/>
      </w:r>
      <w:r w:rsidR="008C0B2F">
        <w:tab/>
      </w:r>
      <w:r w:rsidR="008C0B2F">
        <w:tab/>
      </w:r>
      <w:r w:rsidR="008C0B2F">
        <w:tab/>
      </w:r>
      <w:hyperlink r:id="rId12">
        <w:r w:rsidR="00E327B3" w:rsidRPr="4CA51072">
          <w:rPr>
            <w:rStyle w:val="Hyperlink"/>
          </w:rPr>
          <w:t>Explore</w:t>
        </w:r>
      </w:hyperlink>
      <w:r w:rsidR="008C0B2F">
        <w:tab/>
      </w:r>
    </w:p>
    <w:p w14:paraId="42BC300F" w14:textId="77777777" w:rsidR="00D92DD2" w:rsidRDefault="00D92DD2" w:rsidP="00E327B3">
      <w:pPr>
        <w:spacing w:line="264" w:lineRule="auto"/>
        <w:rPr>
          <w:b/>
        </w:rPr>
      </w:pPr>
    </w:p>
    <w:p w14:paraId="488C8F0F" w14:textId="77777777" w:rsidR="00F825C9" w:rsidRDefault="00F825C9" w:rsidP="00E327B3">
      <w:pPr>
        <w:spacing w:line="264" w:lineRule="auto"/>
        <w:rPr>
          <w:b/>
        </w:rPr>
      </w:pPr>
    </w:p>
    <w:p w14:paraId="53590399" w14:textId="77777777" w:rsidR="00E327B3" w:rsidRDefault="008B0914" w:rsidP="00E327B3">
      <w:pPr>
        <w:spacing w:line="264" w:lineRule="auto"/>
        <w:rPr>
          <w:b/>
        </w:rPr>
      </w:pPr>
      <w:r>
        <w:rPr>
          <w:b/>
        </w:rPr>
        <w:t>3-Day Courses</w:t>
      </w:r>
    </w:p>
    <w:p w14:paraId="18EBD38F" w14:textId="77777777" w:rsidR="008B0914" w:rsidRDefault="008B0914" w:rsidP="00AD7B31">
      <w:pPr>
        <w:spacing w:line="264" w:lineRule="auto"/>
        <w:ind w:right="-568"/>
      </w:pPr>
      <w:r>
        <w:t>Both the Discover and Explore Courses are avai</w:t>
      </w:r>
      <w:r w:rsidR="00694275">
        <w:t>labl</w:t>
      </w:r>
      <w:r w:rsidR="00735ABB">
        <w:t xml:space="preserve">e as a 3 Day package in </w:t>
      </w:r>
      <w:r w:rsidR="00694275">
        <w:t>low</w:t>
      </w:r>
      <w:r w:rsidR="00AD7B31">
        <w:t xml:space="preserve"> and </w:t>
      </w:r>
      <w:r w:rsidR="00735ABB">
        <w:t>mid-</w:t>
      </w:r>
      <w:r w:rsidR="005507F3">
        <w:t>season</w:t>
      </w:r>
      <w:r>
        <w:t>.</w:t>
      </w:r>
    </w:p>
    <w:p w14:paraId="2A1FD9A9" w14:textId="77777777" w:rsidR="008B0914" w:rsidRDefault="008B0914" w:rsidP="00E327B3">
      <w:pPr>
        <w:spacing w:line="264" w:lineRule="auto"/>
      </w:pPr>
      <w:r>
        <w:t>Th</w:t>
      </w:r>
      <w:r w:rsidR="00D92DD2">
        <w:t>ese courses normally run from 1</w:t>
      </w:r>
      <w:r w:rsidR="00674780">
        <w:t>0</w:t>
      </w:r>
      <w:r w:rsidR="00D92DD2">
        <w:t>.3</w:t>
      </w:r>
      <w:r w:rsidR="00771311">
        <w:t>0</w:t>
      </w:r>
      <w:r w:rsidR="00674780">
        <w:t xml:space="preserve"> </w:t>
      </w:r>
      <w:r w:rsidR="00771311">
        <w:t>am on Monday to</w:t>
      </w:r>
      <w:r w:rsidR="00674780">
        <w:t xml:space="preserve"> </w:t>
      </w:r>
      <w:r w:rsidR="00771311">
        <w:t>12.</w:t>
      </w:r>
      <w:r w:rsidR="00674780">
        <w:t>3</w:t>
      </w:r>
      <w:r w:rsidR="00771311">
        <w:t>0</w:t>
      </w:r>
      <w:r w:rsidR="00674780">
        <w:t xml:space="preserve"> </w:t>
      </w:r>
      <w:r w:rsidR="00771311">
        <w:t>p</w:t>
      </w:r>
      <w:r>
        <w:t>m on Wednesday and from 1</w:t>
      </w:r>
      <w:r w:rsidR="00674780">
        <w:t>2</w:t>
      </w:r>
      <w:r>
        <w:t>.</w:t>
      </w:r>
      <w:r w:rsidR="00674780">
        <w:t>0</w:t>
      </w:r>
      <w:r>
        <w:t>0</w:t>
      </w:r>
      <w:r w:rsidR="00674780">
        <w:t xml:space="preserve"> </w:t>
      </w:r>
      <w:r>
        <w:t>pm on Wednesday through to 1.30</w:t>
      </w:r>
      <w:r w:rsidR="00674780">
        <w:t xml:space="preserve"> </w:t>
      </w:r>
      <w:r>
        <w:t>pm on Friday.</w:t>
      </w:r>
    </w:p>
    <w:p w14:paraId="22EDF187" w14:textId="77777777" w:rsidR="008B0914" w:rsidRDefault="008B0914" w:rsidP="00E327B3">
      <w:pPr>
        <w:spacing w:line="264" w:lineRule="auto"/>
      </w:pPr>
    </w:p>
    <w:p w14:paraId="1D578650" w14:textId="77777777" w:rsidR="00E327B3" w:rsidRPr="00E327B3" w:rsidRDefault="00E327B3" w:rsidP="00E327B3">
      <w:pPr>
        <w:spacing w:line="264" w:lineRule="auto"/>
        <w:rPr>
          <w:b/>
        </w:rPr>
      </w:pPr>
      <w:r w:rsidRPr="00E327B3">
        <w:rPr>
          <w:b/>
        </w:rPr>
        <w:t>Weekend course</w:t>
      </w:r>
      <w:r w:rsidR="005D4666">
        <w:rPr>
          <w:b/>
        </w:rPr>
        <w:t>s</w:t>
      </w:r>
    </w:p>
    <w:p w14:paraId="41C85C5E" w14:textId="393F8CD2" w:rsidR="00E327B3" w:rsidRDefault="00E327B3" w:rsidP="00E327B3">
      <w:pPr>
        <w:spacing w:line="264" w:lineRule="auto"/>
      </w:pPr>
      <w:r w:rsidRPr="00E327B3">
        <w:t>Weekend courses normally run from 5.</w:t>
      </w:r>
      <w:r w:rsidR="00B71297">
        <w:t>0</w:t>
      </w:r>
      <w:r w:rsidRPr="00E327B3">
        <w:t>0 p</w:t>
      </w:r>
      <w:r w:rsidRPr="00E327B3">
        <w:rPr>
          <w:rFonts w:cs="Arial"/>
          <w:szCs w:val="22"/>
        </w:rPr>
        <w:t xml:space="preserve">m on Friday to 4.30 pm on Sunday.  </w:t>
      </w:r>
      <w:r w:rsidR="00483A34">
        <w:t>Our Activity</w:t>
      </w:r>
      <w:r w:rsidRPr="00E327B3">
        <w:t xml:space="preserve"> Weekend </w:t>
      </w:r>
      <w:proofErr w:type="gramStart"/>
      <w:r w:rsidRPr="00E327B3">
        <w:t>provides an introduction to</w:t>
      </w:r>
      <w:proofErr w:type="gramEnd"/>
      <w:r w:rsidRPr="00E327B3">
        <w:t xml:space="preserve"> a range of outdoor activities.  It can be tailored to focus on specific learning outcomes if required.</w:t>
      </w:r>
    </w:p>
    <w:p w14:paraId="3E8C498E" w14:textId="77777777" w:rsidR="00483A34" w:rsidRPr="00E327B3" w:rsidRDefault="00483A34" w:rsidP="00E327B3">
      <w:pPr>
        <w:spacing w:line="264" w:lineRule="auto"/>
      </w:pPr>
    </w:p>
    <w:p w14:paraId="26EEAA66" w14:textId="77777777" w:rsidR="00E327B3" w:rsidRPr="00E327B3" w:rsidRDefault="00CB685C" w:rsidP="00E327B3">
      <w:pPr>
        <w:spacing w:line="264" w:lineRule="auto"/>
      </w:pPr>
      <w:r>
        <w:t>For further details are on</w:t>
      </w:r>
      <w:r w:rsidR="00483A34">
        <w:t xml:space="preserve"> our website: </w:t>
      </w:r>
      <w:hyperlink r:id="rId13" w:history="1">
        <w:r w:rsidR="00483A34" w:rsidRPr="0061277F">
          <w:rPr>
            <w:rStyle w:val="Hyperlink"/>
          </w:rPr>
          <w:t>Activity</w:t>
        </w:r>
        <w:r w:rsidR="00E327B3" w:rsidRPr="0061277F">
          <w:rPr>
            <w:rStyle w:val="Hyperlink"/>
          </w:rPr>
          <w:t xml:space="preserve"> Weekend</w:t>
        </w:r>
      </w:hyperlink>
    </w:p>
    <w:p w14:paraId="2D0BCE6B" w14:textId="77777777" w:rsidR="00F825C9" w:rsidRPr="00E327B3" w:rsidRDefault="00F825C9" w:rsidP="00E327B3">
      <w:pPr>
        <w:spacing w:line="264" w:lineRule="auto"/>
      </w:pPr>
    </w:p>
    <w:p w14:paraId="38FA9DA9" w14:textId="77777777" w:rsidR="00DD3C91" w:rsidRDefault="00DD3C91" w:rsidP="00E327B3">
      <w:pPr>
        <w:spacing w:line="264" w:lineRule="auto"/>
        <w:rPr>
          <w:b/>
        </w:rPr>
      </w:pPr>
    </w:p>
    <w:p w14:paraId="017F3E7B" w14:textId="77777777" w:rsidR="00E327B3" w:rsidRPr="00E327B3" w:rsidRDefault="008B0914" w:rsidP="00E327B3">
      <w:pPr>
        <w:spacing w:line="264" w:lineRule="auto"/>
        <w:rPr>
          <w:b/>
        </w:rPr>
      </w:pPr>
      <w:r>
        <w:rPr>
          <w:b/>
        </w:rPr>
        <w:t>Bespoke Custom Designed</w:t>
      </w:r>
      <w:r w:rsidR="00E327B3" w:rsidRPr="00E327B3">
        <w:rPr>
          <w:b/>
        </w:rPr>
        <w:t xml:space="preserve"> Courses </w:t>
      </w:r>
    </w:p>
    <w:p w14:paraId="098C9F3F" w14:textId="5A227C48" w:rsidR="0056317A" w:rsidRDefault="00E327B3" w:rsidP="00E327B3">
      <w:pPr>
        <w:spacing w:line="264" w:lineRule="auto"/>
      </w:pPr>
      <w:r w:rsidRPr="00E327B3">
        <w:t>We ar</w:t>
      </w:r>
      <w:r w:rsidR="003527D9">
        <w:t>e also able to design custom</w:t>
      </w:r>
      <w:r w:rsidRPr="00E327B3">
        <w:t xml:space="preserve"> courses based on your specific requirements such as learning objectives, </w:t>
      </w:r>
      <w:r w:rsidR="00EE5E01" w:rsidRPr="00E327B3">
        <w:t>activities,</w:t>
      </w:r>
      <w:r w:rsidRPr="00E327B3">
        <w:t xml:space="preserve"> or length.  Please note your requirements on the booking request form or contact us to discuss the </w:t>
      </w:r>
      <w:r w:rsidR="003527D9">
        <w:t>possibilities</w:t>
      </w:r>
      <w:r w:rsidRPr="00E327B3">
        <w:t>.</w:t>
      </w:r>
    </w:p>
    <w:p w14:paraId="72C5EDF4" w14:textId="77777777" w:rsidR="0056317A" w:rsidRPr="00485CD6" w:rsidRDefault="0056317A" w:rsidP="4CA51072">
      <w:pPr>
        <w:spacing w:line="264" w:lineRule="auto"/>
        <w:rPr>
          <w:sz w:val="18"/>
          <w:szCs w:val="18"/>
        </w:rPr>
      </w:pPr>
    </w:p>
    <w:p w14:paraId="5E3501B5" w14:textId="745BD820" w:rsidR="4CA51072" w:rsidRDefault="4CA51072" w:rsidP="4CA51072">
      <w:pPr>
        <w:spacing w:line="264" w:lineRule="auto"/>
        <w:rPr>
          <w:sz w:val="18"/>
          <w:szCs w:val="18"/>
        </w:rPr>
      </w:pPr>
    </w:p>
    <w:p w14:paraId="419D2A6D" w14:textId="1420A1EB" w:rsidR="4CA51072" w:rsidRDefault="4CA51072" w:rsidP="4CA51072">
      <w:pPr>
        <w:spacing w:line="264" w:lineRule="auto"/>
        <w:rPr>
          <w:sz w:val="18"/>
          <w:szCs w:val="18"/>
        </w:rPr>
      </w:pPr>
    </w:p>
    <w:p w14:paraId="4E2BD5C9" w14:textId="137D6F2E" w:rsidR="4CA51072" w:rsidRDefault="4CA51072" w:rsidP="4CA51072">
      <w:pPr>
        <w:spacing w:line="264" w:lineRule="auto"/>
        <w:rPr>
          <w:sz w:val="18"/>
          <w:szCs w:val="18"/>
        </w:rPr>
      </w:pPr>
    </w:p>
    <w:p w14:paraId="2E46AC94" w14:textId="766D7624" w:rsidR="00B23091" w:rsidRDefault="0056317A" w:rsidP="00713B81">
      <w:pPr>
        <w:spacing w:line="264" w:lineRule="auto"/>
        <w:rPr>
          <w:b/>
        </w:rPr>
      </w:pPr>
      <w:r w:rsidRPr="0056317A">
        <w:rPr>
          <w:b/>
        </w:rPr>
        <w:t>Prices</w:t>
      </w:r>
      <w:r w:rsidR="00735ABB">
        <w:rPr>
          <w:b/>
        </w:rPr>
        <w:t xml:space="preserve"> per </w:t>
      </w:r>
      <w:r w:rsidR="00E30FBD">
        <w:rPr>
          <w:b/>
        </w:rPr>
        <w:t>P</w:t>
      </w:r>
      <w:r w:rsidR="009C6E36">
        <w:rPr>
          <w:b/>
        </w:rPr>
        <w:t>upil</w:t>
      </w:r>
    </w:p>
    <w:tbl>
      <w:tblPr>
        <w:tblpPr w:leftFromText="181" w:rightFromText="181" w:vertAnchor="text" w:horzAnchor="margin" w:tblpY="147"/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40"/>
        <w:gridCol w:w="1197"/>
        <w:gridCol w:w="978"/>
        <w:gridCol w:w="1264"/>
        <w:gridCol w:w="1085"/>
        <w:gridCol w:w="976"/>
        <w:gridCol w:w="1631"/>
      </w:tblGrid>
      <w:tr w:rsidR="00E83B9B" w:rsidRPr="00E327B3" w14:paraId="70EFBD2F" w14:textId="77777777" w:rsidTr="00E83B9B">
        <w:trPr>
          <w:trHeight w:val="270"/>
        </w:trPr>
        <w:tc>
          <w:tcPr>
            <w:tcW w:w="1069" w:type="pct"/>
            <w:vMerge w:val="restart"/>
            <w:shd w:val="pct20" w:color="000000" w:fill="FFFFFF"/>
          </w:tcPr>
          <w:p w14:paraId="68578075" w14:textId="77777777" w:rsidR="00E83B9B" w:rsidRDefault="00E83B9B" w:rsidP="00EB6F0F">
            <w:pPr>
              <w:spacing w:line="264" w:lineRule="auto"/>
              <w:rPr>
                <w:b/>
              </w:rPr>
            </w:pPr>
          </w:p>
          <w:p w14:paraId="7FE7E869" w14:textId="77777777" w:rsidR="00E83B9B" w:rsidRPr="00E327B3" w:rsidRDefault="00E83B9B" w:rsidP="00EB6F0F">
            <w:pPr>
              <w:spacing w:line="264" w:lineRule="auto"/>
              <w:rPr>
                <w:b/>
              </w:rPr>
            </w:pPr>
            <w:r w:rsidRPr="00E327B3">
              <w:rPr>
                <w:b/>
              </w:rPr>
              <w:t>Prices</w:t>
            </w:r>
            <w:r>
              <w:rPr>
                <w:b/>
              </w:rPr>
              <w:t xml:space="preserve"> per pupil for standard 1 group courses</w:t>
            </w:r>
          </w:p>
        </w:tc>
        <w:tc>
          <w:tcPr>
            <w:tcW w:w="3931" w:type="pct"/>
            <w:gridSpan w:val="6"/>
            <w:shd w:val="pct20" w:color="000000" w:fill="FFFFFF"/>
          </w:tcPr>
          <w:p w14:paraId="7ECBF129" w14:textId="2EF7A674" w:rsidR="00E83B9B" w:rsidRPr="00E327B3" w:rsidRDefault="00DE4FA1" w:rsidP="00DE4FA1">
            <w:pPr>
              <w:spacing w:before="60" w:line="264" w:lineRule="auto"/>
              <w:jc w:val="center"/>
              <w:rPr>
                <w:b/>
              </w:rPr>
            </w:pPr>
            <w:r>
              <w:rPr>
                <w:b/>
                <w:bCs/>
              </w:rPr>
              <w:t>Primary schools 20</w:t>
            </w:r>
            <w:r w:rsidR="00CE6A70">
              <w:rPr>
                <w:b/>
                <w:bCs/>
              </w:rPr>
              <w:t>2</w:t>
            </w:r>
            <w:r w:rsidR="009A0AF7">
              <w:rPr>
                <w:b/>
                <w:bCs/>
              </w:rPr>
              <w:t>5</w:t>
            </w:r>
            <w:r w:rsidR="00E83B9B" w:rsidRPr="00E327B3">
              <w:rPr>
                <w:b/>
                <w:bCs/>
              </w:rPr>
              <w:t xml:space="preserve"> - 20</w:t>
            </w:r>
            <w:r>
              <w:rPr>
                <w:b/>
                <w:bCs/>
              </w:rPr>
              <w:t>2</w:t>
            </w:r>
            <w:r w:rsidR="009A0AF7">
              <w:rPr>
                <w:b/>
                <w:bCs/>
              </w:rPr>
              <w:t>6</w:t>
            </w:r>
          </w:p>
        </w:tc>
      </w:tr>
      <w:tr w:rsidR="00E83B9B" w:rsidRPr="00E327B3" w14:paraId="32DC00D0" w14:textId="77777777" w:rsidTr="00E83B9B">
        <w:trPr>
          <w:trHeight w:val="270"/>
        </w:trPr>
        <w:tc>
          <w:tcPr>
            <w:tcW w:w="1069" w:type="pct"/>
            <w:vMerge/>
            <w:shd w:val="pct20" w:color="000000" w:fill="FFFFFF"/>
          </w:tcPr>
          <w:p w14:paraId="3839A7B0" w14:textId="77777777" w:rsidR="00E83B9B" w:rsidRPr="00E327B3" w:rsidRDefault="00E83B9B" w:rsidP="00EB6F0F">
            <w:pPr>
              <w:spacing w:line="264" w:lineRule="auto"/>
              <w:rPr>
                <w:b/>
              </w:rPr>
            </w:pPr>
          </w:p>
        </w:tc>
        <w:tc>
          <w:tcPr>
            <w:tcW w:w="1896" w:type="pct"/>
            <w:gridSpan w:val="3"/>
            <w:shd w:val="pct20" w:color="000000" w:fill="FFFFFF"/>
          </w:tcPr>
          <w:p w14:paraId="16E2EF45" w14:textId="77777777" w:rsidR="00E83B9B" w:rsidRPr="00E327B3" w:rsidRDefault="00E83B9B" w:rsidP="00E83B9B">
            <w:pPr>
              <w:spacing w:before="60" w:line="264" w:lineRule="auto"/>
              <w:jc w:val="center"/>
              <w:rPr>
                <w:b/>
              </w:rPr>
            </w:pPr>
            <w:r w:rsidRPr="00E327B3">
              <w:rPr>
                <w:b/>
              </w:rPr>
              <w:t>Sunderland schools</w:t>
            </w:r>
          </w:p>
        </w:tc>
        <w:tc>
          <w:tcPr>
            <w:tcW w:w="2035" w:type="pct"/>
            <w:gridSpan w:val="3"/>
            <w:shd w:val="pct20" w:color="000000" w:fill="FFFFFF"/>
          </w:tcPr>
          <w:p w14:paraId="1B01E5DD" w14:textId="77777777" w:rsidR="00E83B9B" w:rsidRPr="00E327B3" w:rsidRDefault="00E83B9B" w:rsidP="00E83B9B">
            <w:pPr>
              <w:spacing w:before="60" w:line="264" w:lineRule="auto"/>
              <w:jc w:val="center"/>
              <w:rPr>
                <w:b/>
              </w:rPr>
            </w:pPr>
            <w:r w:rsidRPr="00E327B3">
              <w:rPr>
                <w:b/>
              </w:rPr>
              <w:t>Schools outside Sunderland</w:t>
            </w:r>
          </w:p>
        </w:tc>
      </w:tr>
      <w:tr w:rsidR="00E83B9B" w:rsidRPr="00E327B3" w14:paraId="27D1EE6E" w14:textId="77777777" w:rsidTr="00E83B9B">
        <w:trPr>
          <w:trHeight w:val="270"/>
        </w:trPr>
        <w:tc>
          <w:tcPr>
            <w:tcW w:w="1069" w:type="pct"/>
            <w:vMerge/>
            <w:shd w:val="pct20" w:color="000000" w:fill="FFFFFF"/>
          </w:tcPr>
          <w:p w14:paraId="3D1807E0" w14:textId="77777777" w:rsidR="00E83B9B" w:rsidRPr="00E327B3" w:rsidRDefault="00E83B9B" w:rsidP="00EB6F0F">
            <w:pPr>
              <w:spacing w:line="264" w:lineRule="auto"/>
              <w:rPr>
                <w:b/>
              </w:rPr>
            </w:pPr>
          </w:p>
        </w:tc>
        <w:tc>
          <w:tcPr>
            <w:tcW w:w="660" w:type="pct"/>
            <w:shd w:val="pct20" w:color="000000" w:fill="FFFFFF"/>
          </w:tcPr>
          <w:p w14:paraId="5DF2EDD2" w14:textId="118355FD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 w:rsidRPr="00E327B3">
              <w:rPr>
                <w:b/>
              </w:rPr>
              <w:t>5-day</w:t>
            </w:r>
          </w:p>
        </w:tc>
        <w:tc>
          <w:tcPr>
            <w:tcW w:w="539" w:type="pct"/>
            <w:shd w:val="pct20" w:color="000000" w:fill="FFFFFF"/>
          </w:tcPr>
          <w:p w14:paraId="4B9A7C23" w14:textId="77777777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>
              <w:rPr>
                <w:b/>
              </w:rPr>
              <w:t>3-day</w:t>
            </w:r>
          </w:p>
        </w:tc>
        <w:tc>
          <w:tcPr>
            <w:tcW w:w="697" w:type="pct"/>
            <w:shd w:val="pct20" w:color="000000" w:fill="FFFFFF"/>
          </w:tcPr>
          <w:p w14:paraId="0099254F" w14:textId="77777777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 w:rsidRPr="00E327B3">
              <w:rPr>
                <w:b/>
              </w:rPr>
              <w:t>Weekend</w:t>
            </w:r>
          </w:p>
        </w:tc>
        <w:tc>
          <w:tcPr>
            <w:tcW w:w="598" w:type="pct"/>
            <w:shd w:val="pct20" w:color="000000" w:fill="FFFFFF"/>
          </w:tcPr>
          <w:p w14:paraId="0E38EBF8" w14:textId="7806BD08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 w:rsidRPr="00E327B3">
              <w:rPr>
                <w:b/>
              </w:rPr>
              <w:t>5-day</w:t>
            </w:r>
          </w:p>
        </w:tc>
        <w:tc>
          <w:tcPr>
            <w:tcW w:w="538" w:type="pct"/>
            <w:shd w:val="pct20" w:color="000000" w:fill="FFFFFF"/>
          </w:tcPr>
          <w:p w14:paraId="38C13946" w14:textId="77777777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>
              <w:rPr>
                <w:b/>
              </w:rPr>
              <w:t>3-day</w:t>
            </w:r>
          </w:p>
        </w:tc>
        <w:tc>
          <w:tcPr>
            <w:tcW w:w="899" w:type="pct"/>
            <w:shd w:val="pct20" w:color="000000" w:fill="FFFFFF"/>
          </w:tcPr>
          <w:p w14:paraId="67BF0FE7" w14:textId="77777777" w:rsidR="00E83B9B" w:rsidRPr="00E327B3" w:rsidRDefault="00E83B9B" w:rsidP="00EB6F0F">
            <w:pPr>
              <w:spacing w:before="60" w:line="264" w:lineRule="auto"/>
              <w:rPr>
                <w:b/>
              </w:rPr>
            </w:pPr>
            <w:r w:rsidRPr="00E327B3">
              <w:rPr>
                <w:b/>
              </w:rPr>
              <w:t>Weekend</w:t>
            </w:r>
          </w:p>
        </w:tc>
      </w:tr>
      <w:tr w:rsidR="00E83B9B" w:rsidRPr="00E327B3" w14:paraId="79E948B2" w14:textId="77777777" w:rsidTr="00062780">
        <w:trPr>
          <w:trHeight w:val="270"/>
        </w:trPr>
        <w:tc>
          <w:tcPr>
            <w:tcW w:w="1069" w:type="pct"/>
            <w:shd w:val="pct20" w:color="000000" w:fill="FFFFFF"/>
          </w:tcPr>
          <w:p w14:paraId="3BB4BFD0" w14:textId="77777777" w:rsidR="00E83B9B" w:rsidRDefault="00E83B9B" w:rsidP="00EB6F0F">
            <w:pPr>
              <w:spacing w:before="120" w:after="60" w:line="264" w:lineRule="auto"/>
              <w:rPr>
                <w:b/>
              </w:rPr>
            </w:pPr>
            <w:r w:rsidRPr="00E327B3">
              <w:rPr>
                <w:b/>
              </w:rPr>
              <w:t>Low Season</w:t>
            </w:r>
            <w:r w:rsidR="00605AEF">
              <w:rPr>
                <w:b/>
              </w:rPr>
              <w:t>**</w:t>
            </w:r>
          </w:p>
          <w:p w14:paraId="202F5DD7" w14:textId="77777777" w:rsidR="00E83B9B" w:rsidRPr="00E327B3" w:rsidRDefault="00E83B9B" w:rsidP="00EB6F0F">
            <w:pPr>
              <w:spacing w:line="264" w:lineRule="auto"/>
              <w:rPr>
                <w:b/>
              </w:rPr>
            </w:pPr>
            <w:r w:rsidRPr="00D258B3">
              <w:rPr>
                <w:sz w:val="18"/>
                <w:szCs w:val="18"/>
              </w:rPr>
              <w:t>Start and end in</w:t>
            </w:r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December, January, February </w:t>
            </w:r>
          </w:p>
        </w:tc>
        <w:tc>
          <w:tcPr>
            <w:tcW w:w="660" w:type="pct"/>
            <w:shd w:val="pct20" w:color="000000" w:fill="FFFFFF"/>
            <w:vAlign w:val="center"/>
          </w:tcPr>
          <w:p w14:paraId="542FBB53" w14:textId="61F339D8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£2</w:t>
            </w:r>
            <w:r w:rsidR="00DD50AF">
              <w:rPr>
                <w:b/>
              </w:rPr>
              <w:t>8</w:t>
            </w:r>
            <w:r w:rsidR="00610411">
              <w:rPr>
                <w:b/>
              </w:rPr>
              <w:t>5</w:t>
            </w:r>
          </w:p>
        </w:tc>
        <w:tc>
          <w:tcPr>
            <w:tcW w:w="539" w:type="pct"/>
            <w:shd w:val="pct20" w:color="000000" w:fill="FFFFFF"/>
            <w:vAlign w:val="center"/>
          </w:tcPr>
          <w:p w14:paraId="46323E29" w14:textId="663C2741" w:rsidR="00E83B9B" w:rsidRDefault="00062780" w:rsidP="00062780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6859B6">
              <w:rPr>
                <w:b/>
              </w:rPr>
              <w:t>71</w:t>
            </w:r>
          </w:p>
        </w:tc>
        <w:tc>
          <w:tcPr>
            <w:tcW w:w="697" w:type="pct"/>
            <w:shd w:val="pct20" w:color="000000" w:fill="FFFFFF"/>
            <w:vAlign w:val="center"/>
          </w:tcPr>
          <w:p w14:paraId="10879106" w14:textId="431D74C1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17340B">
              <w:rPr>
                <w:b/>
              </w:rPr>
              <w:t>37</w:t>
            </w:r>
          </w:p>
        </w:tc>
        <w:tc>
          <w:tcPr>
            <w:tcW w:w="598" w:type="pct"/>
            <w:shd w:val="pct20" w:color="000000" w:fill="FFFFFF"/>
            <w:vAlign w:val="center"/>
          </w:tcPr>
          <w:p w14:paraId="3BD35CC3" w14:textId="0F3C9EB2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C80E7A">
              <w:rPr>
                <w:b/>
              </w:rPr>
              <w:t>3</w:t>
            </w:r>
            <w:r w:rsidR="00F95B5A">
              <w:rPr>
                <w:b/>
              </w:rPr>
              <w:t>46</w:t>
            </w:r>
          </w:p>
        </w:tc>
        <w:tc>
          <w:tcPr>
            <w:tcW w:w="538" w:type="pct"/>
            <w:shd w:val="pct20" w:color="000000" w:fill="FFFFFF"/>
            <w:vAlign w:val="center"/>
          </w:tcPr>
          <w:p w14:paraId="369A668E" w14:textId="390F5662" w:rsidR="00E83B9B" w:rsidRDefault="00E91BA9" w:rsidP="00DE4FA1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6D58F7">
              <w:rPr>
                <w:b/>
              </w:rPr>
              <w:t>207</w:t>
            </w:r>
          </w:p>
        </w:tc>
        <w:tc>
          <w:tcPr>
            <w:tcW w:w="899" w:type="pct"/>
            <w:shd w:val="pct20" w:color="000000" w:fill="FFFFFF"/>
            <w:vAlign w:val="center"/>
          </w:tcPr>
          <w:p w14:paraId="5C5D1486" w14:textId="0D54765C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B16412">
              <w:rPr>
                <w:b/>
              </w:rPr>
              <w:t>70</w:t>
            </w:r>
          </w:p>
        </w:tc>
      </w:tr>
      <w:tr w:rsidR="00E83B9B" w:rsidRPr="00E327B3" w14:paraId="63B5BE2F" w14:textId="77777777" w:rsidTr="00062780">
        <w:trPr>
          <w:trHeight w:val="270"/>
        </w:trPr>
        <w:tc>
          <w:tcPr>
            <w:tcW w:w="1069" w:type="pct"/>
            <w:shd w:val="pct20" w:color="000000" w:fill="FFFFFF"/>
          </w:tcPr>
          <w:p w14:paraId="0596C3B6" w14:textId="77777777" w:rsidR="00E83B9B" w:rsidRPr="00E327B3" w:rsidRDefault="00E83B9B" w:rsidP="00EB6F0F">
            <w:pPr>
              <w:spacing w:before="120" w:after="60" w:line="264" w:lineRule="auto"/>
              <w:rPr>
                <w:b/>
              </w:rPr>
            </w:pPr>
            <w:r w:rsidRPr="00E327B3">
              <w:rPr>
                <w:b/>
              </w:rPr>
              <w:t>Mid-Season</w:t>
            </w:r>
            <w:r w:rsidR="00605AEF">
              <w:rPr>
                <w:b/>
              </w:rPr>
              <w:t>**</w:t>
            </w:r>
          </w:p>
          <w:p w14:paraId="03DED817" w14:textId="77777777" w:rsidR="00E83B9B" w:rsidRPr="00E327B3" w:rsidRDefault="00E83B9B" w:rsidP="00EB6F0F">
            <w:pPr>
              <w:spacing w:after="60" w:line="264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Start and end in November, March and April</w:t>
            </w:r>
          </w:p>
        </w:tc>
        <w:tc>
          <w:tcPr>
            <w:tcW w:w="660" w:type="pct"/>
            <w:shd w:val="pct20" w:color="000000" w:fill="FFFFFF"/>
            <w:vAlign w:val="center"/>
          </w:tcPr>
          <w:p w14:paraId="17149BF6" w14:textId="4FEDB07E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D678EC">
              <w:rPr>
                <w:b/>
              </w:rPr>
              <w:t>317</w:t>
            </w:r>
          </w:p>
        </w:tc>
        <w:tc>
          <w:tcPr>
            <w:tcW w:w="539" w:type="pct"/>
            <w:shd w:val="pct20" w:color="000000" w:fill="FFFFFF"/>
            <w:vAlign w:val="center"/>
          </w:tcPr>
          <w:p w14:paraId="0CAFE94A" w14:textId="5166E184" w:rsidR="00E83B9B" w:rsidRDefault="00062780" w:rsidP="00062780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093786">
              <w:rPr>
                <w:b/>
              </w:rPr>
              <w:t>91</w:t>
            </w:r>
          </w:p>
        </w:tc>
        <w:tc>
          <w:tcPr>
            <w:tcW w:w="697" w:type="pct"/>
            <w:shd w:val="pct20" w:color="000000" w:fill="FFFFFF"/>
            <w:vAlign w:val="center"/>
          </w:tcPr>
          <w:p w14:paraId="539562D8" w14:textId="1ACBDBCD" w:rsidR="00E83B9B" w:rsidRPr="00E327B3" w:rsidRDefault="00E83B9B" w:rsidP="00DE4FA1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0D0A60">
              <w:rPr>
                <w:b/>
              </w:rPr>
              <w:t>52</w:t>
            </w:r>
          </w:p>
        </w:tc>
        <w:tc>
          <w:tcPr>
            <w:tcW w:w="598" w:type="pct"/>
            <w:shd w:val="pct20" w:color="000000" w:fill="FFFFFF"/>
            <w:vAlign w:val="center"/>
          </w:tcPr>
          <w:p w14:paraId="24FDE3B1" w14:textId="3CC37129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CE6A70">
              <w:rPr>
                <w:b/>
              </w:rPr>
              <w:t>3</w:t>
            </w:r>
            <w:r w:rsidR="005233C2">
              <w:rPr>
                <w:b/>
              </w:rPr>
              <w:t>85</w:t>
            </w:r>
          </w:p>
        </w:tc>
        <w:tc>
          <w:tcPr>
            <w:tcW w:w="538" w:type="pct"/>
            <w:shd w:val="pct20" w:color="000000" w:fill="FFFFFF"/>
            <w:vAlign w:val="center"/>
          </w:tcPr>
          <w:p w14:paraId="3B14D45E" w14:textId="1A2B9519" w:rsidR="00E83B9B" w:rsidRDefault="00062780" w:rsidP="00DE4FA1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22091A">
              <w:rPr>
                <w:b/>
              </w:rPr>
              <w:t>2</w:t>
            </w:r>
            <w:r w:rsidR="00D84C3B">
              <w:rPr>
                <w:b/>
              </w:rPr>
              <w:t>31</w:t>
            </w:r>
          </w:p>
        </w:tc>
        <w:tc>
          <w:tcPr>
            <w:tcW w:w="899" w:type="pct"/>
            <w:shd w:val="pct20" w:color="000000" w:fill="FFFFFF"/>
            <w:vAlign w:val="center"/>
          </w:tcPr>
          <w:p w14:paraId="2923F689" w14:textId="6EF9B9AA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B36F25">
              <w:rPr>
                <w:b/>
              </w:rPr>
              <w:t>89</w:t>
            </w:r>
          </w:p>
        </w:tc>
      </w:tr>
      <w:tr w:rsidR="00E83B9B" w:rsidRPr="00E327B3" w14:paraId="26E05AB5" w14:textId="77777777" w:rsidTr="00062780">
        <w:trPr>
          <w:trHeight w:val="270"/>
        </w:trPr>
        <w:tc>
          <w:tcPr>
            <w:tcW w:w="1069" w:type="pct"/>
            <w:shd w:val="pct20" w:color="000000" w:fill="FFFFFF"/>
          </w:tcPr>
          <w:p w14:paraId="4E4DF7CD" w14:textId="208D86AF" w:rsidR="00E83B9B" w:rsidRPr="00E327B3" w:rsidRDefault="00397CF2" w:rsidP="00EB6F0F">
            <w:pPr>
              <w:spacing w:before="120" w:after="60" w:line="264" w:lineRule="auto"/>
              <w:rPr>
                <w:b/>
              </w:rPr>
            </w:pPr>
            <w:r>
              <w:rPr>
                <w:b/>
              </w:rPr>
              <w:t>P</w:t>
            </w:r>
            <w:r w:rsidR="00596175">
              <w:rPr>
                <w:b/>
              </w:rPr>
              <w:t>eak</w:t>
            </w:r>
            <w:r w:rsidR="00E83B9B" w:rsidRPr="00E327B3">
              <w:rPr>
                <w:b/>
              </w:rPr>
              <w:t xml:space="preserve"> Season</w:t>
            </w:r>
          </w:p>
          <w:p w14:paraId="20284E70" w14:textId="77777777" w:rsidR="00E83B9B" w:rsidRDefault="00605AEF" w:rsidP="00EB6F0F">
            <w:pPr>
              <w:spacing w:after="60" w:line="264" w:lineRule="auto"/>
              <w:rPr>
                <w:rFonts w:cs="Arial"/>
                <w:sz w:val="18"/>
                <w:szCs w:val="18"/>
              </w:rPr>
            </w:pPr>
            <w:r w:rsidRPr="00605AEF">
              <w:rPr>
                <w:rFonts w:cs="Arial"/>
                <w:sz w:val="18"/>
                <w:szCs w:val="18"/>
              </w:rPr>
              <w:t>Start and end 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E83B9B">
              <w:rPr>
                <w:rFonts w:cs="Arial"/>
                <w:sz w:val="18"/>
                <w:szCs w:val="18"/>
              </w:rPr>
              <w:t>May, June, July, August, September and October</w:t>
            </w:r>
          </w:p>
          <w:p w14:paraId="4555E5CB" w14:textId="77777777" w:rsidR="00E83B9B" w:rsidRPr="00E327B3" w:rsidRDefault="00E83B9B" w:rsidP="00AF0FB2">
            <w:pPr>
              <w:spacing w:after="60" w:line="264" w:lineRule="auto"/>
            </w:pPr>
            <w:r>
              <w:rPr>
                <w:rFonts w:cs="Arial"/>
                <w:sz w:val="18"/>
                <w:szCs w:val="18"/>
              </w:rPr>
              <w:t xml:space="preserve">(Minimum fee per </w:t>
            </w:r>
            <w:r w:rsidR="00AF0FB2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ctivity group applies)</w:t>
            </w:r>
          </w:p>
        </w:tc>
        <w:tc>
          <w:tcPr>
            <w:tcW w:w="660" w:type="pct"/>
            <w:shd w:val="pct20" w:color="000000" w:fill="FFFFFF"/>
            <w:vAlign w:val="center"/>
          </w:tcPr>
          <w:p w14:paraId="0B5D850D" w14:textId="595D73D7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22091A">
              <w:rPr>
                <w:b/>
              </w:rPr>
              <w:t>3</w:t>
            </w:r>
            <w:r w:rsidR="00550074">
              <w:rPr>
                <w:b/>
              </w:rPr>
              <w:t>64</w:t>
            </w:r>
          </w:p>
        </w:tc>
        <w:tc>
          <w:tcPr>
            <w:tcW w:w="539" w:type="pct"/>
            <w:shd w:val="pct20" w:color="000000" w:fill="FFFFFF"/>
            <w:vAlign w:val="center"/>
          </w:tcPr>
          <w:p w14:paraId="1DC5F135" w14:textId="2A929B97" w:rsidR="00E83B9B" w:rsidRDefault="00DE4FA1" w:rsidP="00062780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E91BA9">
              <w:rPr>
                <w:b/>
              </w:rPr>
              <w:t>2</w:t>
            </w:r>
            <w:r w:rsidR="00F9619B">
              <w:rPr>
                <w:b/>
              </w:rPr>
              <w:t>19</w:t>
            </w:r>
          </w:p>
        </w:tc>
        <w:tc>
          <w:tcPr>
            <w:tcW w:w="697" w:type="pct"/>
            <w:shd w:val="pct20" w:color="000000" w:fill="FFFFFF"/>
            <w:vAlign w:val="center"/>
          </w:tcPr>
          <w:p w14:paraId="4DC33B8B" w14:textId="38CFA42F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£1</w:t>
            </w:r>
            <w:r w:rsidR="00FC43FC">
              <w:rPr>
                <w:b/>
              </w:rPr>
              <w:t>74</w:t>
            </w:r>
          </w:p>
        </w:tc>
        <w:tc>
          <w:tcPr>
            <w:tcW w:w="598" w:type="pct"/>
            <w:shd w:val="pct20" w:color="000000" w:fill="FFFFFF"/>
            <w:vAlign w:val="center"/>
          </w:tcPr>
          <w:p w14:paraId="55D033AA" w14:textId="0502D4F1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552004">
              <w:rPr>
                <w:b/>
              </w:rPr>
              <w:t>4</w:t>
            </w:r>
            <w:r w:rsidR="004A3FDA">
              <w:rPr>
                <w:b/>
              </w:rPr>
              <w:t>42</w:t>
            </w:r>
          </w:p>
        </w:tc>
        <w:tc>
          <w:tcPr>
            <w:tcW w:w="538" w:type="pct"/>
            <w:shd w:val="pct20" w:color="000000" w:fill="FFFFFF"/>
            <w:vAlign w:val="center"/>
          </w:tcPr>
          <w:p w14:paraId="2F5AD760" w14:textId="0AB28B88" w:rsidR="00E83B9B" w:rsidRDefault="00DE4FA1" w:rsidP="00DE4FA1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CE6A70">
              <w:rPr>
                <w:b/>
              </w:rPr>
              <w:t>2</w:t>
            </w:r>
            <w:r w:rsidR="006346DD">
              <w:rPr>
                <w:b/>
              </w:rPr>
              <w:t>65</w:t>
            </w:r>
          </w:p>
        </w:tc>
        <w:tc>
          <w:tcPr>
            <w:tcW w:w="899" w:type="pct"/>
            <w:shd w:val="pct20" w:color="000000" w:fill="FFFFFF"/>
            <w:vAlign w:val="center"/>
          </w:tcPr>
          <w:p w14:paraId="4B0556D1" w14:textId="30CB5E9A" w:rsidR="00E83B9B" w:rsidRPr="00E327B3" w:rsidRDefault="00E83B9B" w:rsidP="00EB6F0F">
            <w:pPr>
              <w:spacing w:before="120" w:line="264" w:lineRule="auto"/>
              <w:rPr>
                <w:b/>
              </w:rPr>
            </w:pPr>
            <w:r>
              <w:rPr>
                <w:b/>
              </w:rPr>
              <w:t>£</w:t>
            </w:r>
            <w:r w:rsidR="00A4335D">
              <w:rPr>
                <w:b/>
              </w:rPr>
              <w:t>2</w:t>
            </w:r>
            <w:r w:rsidR="009A0AF7">
              <w:rPr>
                <w:b/>
              </w:rPr>
              <w:t>18</w:t>
            </w:r>
          </w:p>
        </w:tc>
      </w:tr>
    </w:tbl>
    <w:p w14:paraId="08048FE0" w14:textId="37EE5F36" w:rsidR="00713B81" w:rsidRDefault="00713B81" w:rsidP="00713B81">
      <w:pPr>
        <w:spacing w:line="264" w:lineRule="auto"/>
      </w:pPr>
    </w:p>
    <w:p w14:paraId="321027BE" w14:textId="77777777" w:rsidR="00605AEF" w:rsidRPr="00B23091" w:rsidRDefault="00605AEF" w:rsidP="00713B81">
      <w:pPr>
        <w:spacing w:line="264" w:lineRule="auto"/>
        <w:rPr>
          <w:b/>
        </w:rPr>
      </w:pPr>
      <w:r>
        <w:t>**When the dates of the course e</w:t>
      </w:r>
      <w:r w:rsidR="0038145A">
        <w:t>xtend across seasons, the lower</w:t>
      </w:r>
      <w:r>
        <w:t xml:space="preserve"> season rate</w:t>
      </w:r>
      <w:r w:rsidR="00575B93">
        <w:t xml:space="preserve"> applies</w:t>
      </w:r>
      <w:r>
        <w:t>.</w:t>
      </w:r>
    </w:p>
    <w:p w14:paraId="30D173AC" w14:textId="77777777" w:rsidR="00477A8A" w:rsidRPr="00605AEF" w:rsidRDefault="00477A8A" w:rsidP="00713B81">
      <w:pPr>
        <w:spacing w:line="264" w:lineRule="auto"/>
        <w:rPr>
          <w:sz w:val="16"/>
          <w:szCs w:val="16"/>
        </w:rPr>
      </w:pPr>
    </w:p>
    <w:p w14:paraId="6E4F6A8B" w14:textId="77777777" w:rsidR="00835EFB" w:rsidRPr="005507F3" w:rsidRDefault="00FD5448" w:rsidP="001073A4">
      <w:pPr>
        <w:spacing w:line="264" w:lineRule="auto"/>
      </w:pPr>
      <w:r w:rsidRPr="005507F3">
        <w:t xml:space="preserve">In </w:t>
      </w:r>
      <w:r w:rsidR="00397CF2">
        <w:t>prime</w:t>
      </w:r>
      <w:r w:rsidRPr="005507F3">
        <w:t xml:space="preserve"> season when there is increased demand for accommodation and on available resources a</w:t>
      </w:r>
      <w:r w:rsidR="00E10220" w:rsidRPr="005507F3">
        <w:t xml:space="preserve"> minimum fee per</w:t>
      </w:r>
      <w:r w:rsidR="00FF1881" w:rsidRPr="005507F3">
        <w:t xml:space="preserve"> activity</w:t>
      </w:r>
      <w:r w:rsidRPr="005507F3">
        <w:t xml:space="preserve"> group</w:t>
      </w:r>
      <w:r w:rsidR="00AF0FB2">
        <w:t xml:space="preserve"> applies.</w:t>
      </w:r>
    </w:p>
    <w:p w14:paraId="77B74743" w14:textId="77777777" w:rsidR="00FD5448" w:rsidRPr="005507F3" w:rsidRDefault="00E10220" w:rsidP="001073A4">
      <w:pPr>
        <w:spacing w:line="264" w:lineRule="auto"/>
      </w:pPr>
      <w:r w:rsidRPr="005507F3">
        <w:t>(This does not apply in mid and low season)</w:t>
      </w:r>
    </w:p>
    <w:p w14:paraId="4D35BD6A" w14:textId="77777777" w:rsidR="00E10220" w:rsidRPr="00605AEF" w:rsidRDefault="00E10220" w:rsidP="001073A4">
      <w:pPr>
        <w:spacing w:line="264" w:lineRule="auto"/>
        <w:rPr>
          <w:sz w:val="16"/>
          <w:szCs w:val="16"/>
        </w:rPr>
      </w:pPr>
    </w:p>
    <w:p w14:paraId="21B070E3" w14:textId="023A1919" w:rsidR="00835EFB" w:rsidRDefault="00477A8A" w:rsidP="001073A4">
      <w:pPr>
        <w:spacing w:line="264" w:lineRule="auto"/>
      </w:pPr>
      <w:r w:rsidRPr="005507F3">
        <w:t>W</w:t>
      </w:r>
      <w:r w:rsidR="0056317A" w:rsidRPr="005507F3">
        <w:t xml:space="preserve">e understand that </w:t>
      </w:r>
      <w:r w:rsidRPr="005507F3">
        <w:t xml:space="preserve">when making a booking </w:t>
      </w:r>
      <w:r w:rsidR="0056317A" w:rsidRPr="005507F3">
        <w:t>organisers may not be aware of their final numbers. To support you in t</w:t>
      </w:r>
      <w:r w:rsidR="000F0BF6" w:rsidRPr="005507F3">
        <w:t>his process we wil</w:t>
      </w:r>
      <w:r w:rsidR="00230BBA" w:rsidRPr="005507F3">
        <w:t xml:space="preserve">l forward a price and </w:t>
      </w:r>
      <w:r w:rsidR="000F0BF6" w:rsidRPr="005507F3">
        <w:t>contract</w:t>
      </w:r>
      <w:r w:rsidR="00230BBA" w:rsidRPr="005507F3">
        <w:t xml:space="preserve"> based on </w:t>
      </w:r>
      <w:r w:rsidR="00FD5448" w:rsidRPr="005507F3">
        <w:t>the</w:t>
      </w:r>
      <w:r w:rsidR="00835EFB" w:rsidRPr="005507F3">
        <w:t xml:space="preserve"> </w:t>
      </w:r>
      <w:r w:rsidR="0056317A" w:rsidRPr="005507F3">
        <w:t>numb</w:t>
      </w:r>
      <w:r w:rsidR="000F0BF6" w:rsidRPr="005507F3">
        <w:t>ers</w:t>
      </w:r>
      <w:r w:rsidR="00835EFB" w:rsidRPr="005507F3">
        <w:t xml:space="preserve"> you intend to bring. </w:t>
      </w:r>
      <w:r w:rsidR="009C6E36" w:rsidRPr="005507F3">
        <w:t xml:space="preserve">If there is additional demand for </w:t>
      </w:r>
      <w:r w:rsidR="00EE5E01" w:rsidRPr="005507F3">
        <w:t>places,</w:t>
      </w:r>
      <w:r w:rsidR="009C6E36" w:rsidRPr="005507F3">
        <w:t xml:space="preserve"> please contact us and we will try to accommodate your needs.</w:t>
      </w:r>
    </w:p>
    <w:p w14:paraId="08E78517" w14:textId="77777777" w:rsidR="008019D9" w:rsidRPr="00485CD6" w:rsidRDefault="008019D9" w:rsidP="001073A4">
      <w:pPr>
        <w:spacing w:line="264" w:lineRule="auto"/>
        <w:rPr>
          <w:sz w:val="20"/>
        </w:rPr>
      </w:pPr>
    </w:p>
    <w:p w14:paraId="34E987EA" w14:textId="77777777" w:rsidR="008019D9" w:rsidRDefault="008019D9" w:rsidP="001073A4">
      <w:pPr>
        <w:spacing w:line="264" w:lineRule="auto"/>
        <w:rPr>
          <w:b/>
        </w:rPr>
      </w:pPr>
      <w:r w:rsidRPr="008019D9">
        <w:rPr>
          <w:b/>
        </w:rPr>
        <w:t>Visiting Staff</w:t>
      </w:r>
    </w:p>
    <w:p w14:paraId="7E0FFD90" w14:textId="77777777" w:rsidR="00ED614D" w:rsidRDefault="00ED614D" w:rsidP="001073A4">
      <w:pPr>
        <w:spacing w:line="264" w:lineRule="auto"/>
      </w:pPr>
      <w:r>
        <w:t xml:space="preserve">We provide </w:t>
      </w:r>
      <w:r w:rsidRPr="00ED614D">
        <w:t>one</w:t>
      </w:r>
      <w:r>
        <w:t xml:space="preserve"> free staff place per group.</w:t>
      </w:r>
    </w:p>
    <w:p w14:paraId="3EACFF69" w14:textId="77777777" w:rsidR="00650E80" w:rsidRDefault="00650E80" w:rsidP="00650E80">
      <w:pPr>
        <w:pStyle w:val="ListParagraph"/>
        <w:numPr>
          <w:ilvl w:val="0"/>
          <w:numId w:val="3"/>
        </w:numPr>
      </w:pPr>
      <w:r>
        <w:t xml:space="preserve">1 Group: </w:t>
      </w:r>
      <w:r>
        <w:tab/>
        <w:t xml:space="preserve">2 Accompanying Staff </w:t>
      </w:r>
    </w:p>
    <w:p w14:paraId="0DCF46C6" w14:textId="77777777" w:rsidR="00650E80" w:rsidRDefault="00650E80" w:rsidP="00650E80">
      <w:pPr>
        <w:pStyle w:val="ListParagraph"/>
        <w:numPr>
          <w:ilvl w:val="0"/>
          <w:numId w:val="3"/>
        </w:numPr>
      </w:pPr>
      <w:r>
        <w:t>2 Groups:</w:t>
      </w:r>
      <w:r>
        <w:tab/>
        <w:t xml:space="preserve">3 Accompanying Staff </w:t>
      </w:r>
    </w:p>
    <w:p w14:paraId="63DAD56C" w14:textId="77777777" w:rsidR="00650E80" w:rsidRDefault="00650E80" w:rsidP="00650E80">
      <w:pPr>
        <w:pStyle w:val="ListParagraph"/>
        <w:numPr>
          <w:ilvl w:val="0"/>
          <w:numId w:val="3"/>
        </w:numPr>
      </w:pPr>
      <w:r>
        <w:t>3 Groups:</w:t>
      </w:r>
      <w:r>
        <w:tab/>
        <w:t xml:space="preserve">4 Accompanying Staff </w:t>
      </w:r>
    </w:p>
    <w:p w14:paraId="467F6A2F" w14:textId="77777777" w:rsidR="00ED614D" w:rsidRPr="00605AEF" w:rsidRDefault="00ED614D" w:rsidP="001073A4">
      <w:pPr>
        <w:spacing w:line="264" w:lineRule="auto"/>
        <w:rPr>
          <w:sz w:val="16"/>
          <w:szCs w:val="16"/>
        </w:rPr>
      </w:pPr>
    </w:p>
    <w:p w14:paraId="03737579" w14:textId="77777777" w:rsidR="00A13DC1" w:rsidRDefault="00A13DC1" w:rsidP="00A13DC1">
      <w:r>
        <w:t>Whenever practically possible we encourage schools to also bring a floating member of staff, this would normally be the Visit Leader, their place will also be free of charge.</w:t>
      </w:r>
    </w:p>
    <w:p w14:paraId="7F6E58AD" w14:textId="77777777" w:rsidR="00A13DC1" w:rsidRPr="007F79A3" w:rsidRDefault="00A13DC1" w:rsidP="00A13DC1">
      <w:pPr>
        <w:spacing w:line="264" w:lineRule="auto"/>
      </w:pPr>
      <w:r>
        <w:t xml:space="preserve">Any other additional </w:t>
      </w:r>
      <w:r w:rsidRPr="001101E7">
        <w:t>staff</w:t>
      </w:r>
      <w:r>
        <w:t xml:space="preserve"> will be charged equivalent to the pupil price of the visit.</w:t>
      </w:r>
    </w:p>
    <w:p w14:paraId="3569AF3B" w14:textId="77777777" w:rsidR="0056317A" w:rsidRPr="00485CD6" w:rsidRDefault="0056317A" w:rsidP="001073A4">
      <w:pPr>
        <w:spacing w:line="264" w:lineRule="auto"/>
        <w:rPr>
          <w:sz w:val="18"/>
        </w:rPr>
      </w:pPr>
    </w:p>
    <w:p w14:paraId="32742986" w14:textId="77777777" w:rsidR="00E327B3" w:rsidRDefault="00483A34" w:rsidP="001073A4">
      <w:pPr>
        <w:spacing w:line="264" w:lineRule="auto"/>
      </w:pPr>
      <w:r>
        <w:t>Prices for custom</w:t>
      </w:r>
      <w:r w:rsidR="00E327B3" w:rsidRPr="00E327B3">
        <w:t xml:space="preserve"> courses and for courses </w:t>
      </w:r>
      <w:r w:rsidR="003579F1">
        <w:t>requiring</w:t>
      </w:r>
      <w:r w:rsidR="00E327B3" w:rsidRPr="00E327B3">
        <w:t xml:space="preserve"> us to provide a higher staff ratio can be quoted on request. </w:t>
      </w:r>
    </w:p>
    <w:p w14:paraId="6F4F4A3E" w14:textId="77777777" w:rsidR="00650F92" w:rsidRDefault="00650F92" w:rsidP="001073A4">
      <w:pPr>
        <w:spacing w:line="264" w:lineRule="auto"/>
        <w:rPr>
          <w:b/>
        </w:rPr>
      </w:pPr>
    </w:p>
    <w:p w14:paraId="64AAFE21" w14:textId="77777777" w:rsidR="00650F92" w:rsidRDefault="00650F92" w:rsidP="001073A4">
      <w:pPr>
        <w:spacing w:line="264" w:lineRule="auto"/>
        <w:rPr>
          <w:b/>
        </w:rPr>
      </w:pPr>
    </w:p>
    <w:p w14:paraId="5F531AC3" w14:textId="77777777" w:rsidR="00650F92" w:rsidRDefault="00650F92" w:rsidP="001073A4">
      <w:pPr>
        <w:spacing w:line="264" w:lineRule="auto"/>
        <w:rPr>
          <w:b/>
        </w:rPr>
      </w:pPr>
    </w:p>
    <w:p w14:paraId="2D69D146" w14:textId="0EE41700" w:rsidR="00802AA9" w:rsidRDefault="00802AA9" w:rsidP="001073A4">
      <w:pPr>
        <w:spacing w:line="264" w:lineRule="auto"/>
        <w:rPr>
          <w:b/>
        </w:rPr>
      </w:pPr>
      <w:r w:rsidRPr="00802AA9">
        <w:rPr>
          <w:b/>
        </w:rPr>
        <w:lastRenderedPageBreak/>
        <w:t>Group size</w:t>
      </w:r>
      <w:r w:rsidR="0056317A">
        <w:rPr>
          <w:b/>
        </w:rPr>
        <w:t xml:space="preserve"> </w:t>
      </w:r>
    </w:p>
    <w:p w14:paraId="4F8E2ADE" w14:textId="77777777" w:rsidR="0056317A" w:rsidRDefault="00035EED" w:rsidP="0056317A">
      <w:pPr>
        <w:spacing w:line="264" w:lineRule="auto"/>
      </w:pPr>
      <w:r>
        <w:t>We allocate activity groups to your course on a ratio of 1</w:t>
      </w:r>
      <w:r w:rsidR="005225B3">
        <w:t xml:space="preserve"> </w:t>
      </w:r>
      <w:r w:rsidR="0056317A">
        <w:t>Tutor</w:t>
      </w:r>
      <w:r>
        <w:t>:</w:t>
      </w:r>
      <w:r w:rsidR="005225B3">
        <w:t xml:space="preserve"> </w:t>
      </w:r>
      <w:r>
        <w:t>12</w:t>
      </w:r>
      <w:r w:rsidR="0056317A">
        <w:t xml:space="preserve"> Participants.</w:t>
      </w:r>
    </w:p>
    <w:p w14:paraId="1C0F6895" w14:textId="77777777" w:rsidR="00C72690" w:rsidRPr="007F79A3" w:rsidRDefault="00C72690" w:rsidP="0056317A">
      <w:pPr>
        <w:spacing w:line="264" w:lineRule="auto"/>
      </w:pPr>
      <w:r>
        <w:t>Where additional Derwent Hill staff are required to meet the specific needs of the group an additional charge will be made.</w:t>
      </w:r>
    </w:p>
    <w:p w14:paraId="162BDF1E" w14:textId="77777777" w:rsidR="008B0914" w:rsidRDefault="008B0914" w:rsidP="00802AA9">
      <w:pPr>
        <w:spacing w:line="264" w:lineRule="auto"/>
      </w:pPr>
    </w:p>
    <w:p w14:paraId="2C1B4436" w14:textId="77777777" w:rsidR="008B0914" w:rsidRDefault="008B0914" w:rsidP="00802AA9">
      <w:pPr>
        <w:spacing w:line="264" w:lineRule="auto"/>
      </w:pPr>
      <w:r w:rsidRPr="00726369">
        <w:rPr>
          <w:b/>
        </w:rPr>
        <w:t>Exclusive booking</w:t>
      </w:r>
    </w:p>
    <w:p w14:paraId="2D149BF1" w14:textId="77777777" w:rsidR="00C72690" w:rsidRDefault="00802AA9" w:rsidP="00802AA9">
      <w:pPr>
        <w:spacing w:line="264" w:lineRule="auto"/>
      </w:pPr>
      <w:r>
        <w:t xml:space="preserve">Our maximum capacity is 72 pupils and 9 </w:t>
      </w:r>
      <w:r w:rsidR="00C72690">
        <w:t xml:space="preserve">accompanying </w:t>
      </w:r>
      <w:r>
        <w:t>staff.</w:t>
      </w:r>
      <w:r w:rsidR="0006518D">
        <w:t xml:space="preserve"> </w:t>
      </w:r>
      <w:r w:rsidR="00726369">
        <w:t xml:space="preserve"> </w:t>
      </w:r>
      <w:r w:rsidR="00B41FF9">
        <w:t>If you have a minimum of 62</w:t>
      </w:r>
      <w:r>
        <w:t xml:space="preserve"> pupils, you can </w:t>
      </w:r>
      <w:r w:rsidR="0006518D">
        <w:t>make an</w:t>
      </w:r>
      <w:r w:rsidR="0006518D" w:rsidRPr="00726369">
        <w:rPr>
          <w:b/>
        </w:rPr>
        <w:t xml:space="preserve"> </w:t>
      </w:r>
      <w:r w:rsidR="00726369" w:rsidRPr="008B0914">
        <w:t>E</w:t>
      </w:r>
      <w:r w:rsidR="008B0914">
        <w:t>xclusive b</w:t>
      </w:r>
      <w:r w:rsidR="0006518D" w:rsidRPr="008B0914">
        <w:t>ooking</w:t>
      </w:r>
      <w:r w:rsidR="0006518D">
        <w:t xml:space="preserve"> a</w:t>
      </w:r>
      <w:r w:rsidR="008B0914">
        <w:t xml:space="preserve">nd have sole use of the </w:t>
      </w:r>
      <w:r w:rsidR="00177313">
        <w:t>Education C</w:t>
      </w:r>
      <w:r w:rsidR="008B0914">
        <w:t>entre</w:t>
      </w:r>
      <w:r w:rsidR="0006518D">
        <w:t xml:space="preserve">.  </w:t>
      </w:r>
    </w:p>
    <w:p w14:paraId="0AAF3B9B" w14:textId="77777777" w:rsidR="0006518D" w:rsidRDefault="0006518D" w:rsidP="00802AA9">
      <w:pPr>
        <w:spacing w:line="264" w:lineRule="auto"/>
      </w:pPr>
      <w:r>
        <w:t>If you have fewer than 6</w:t>
      </w:r>
      <w:r w:rsidR="00B41FF9">
        <w:t>2</w:t>
      </w:r>
      <w:r w:rsidR="00237E25">
        <w:t xml:space="preserve"> </w:t>
      </w:r>
      <w:r>
        <w:t>pupils, you can make</w:t>
      </w:r>
      <w:r w:rsidR="001101E7">
        <w:t xml:space="preserve"> an </w:t>
      </w:r>
      <w:proofErr w:type="gramStart"/>
      <w:r w:rsidR="001101E7">
        <w:t>I</w:t>
      </w:r>
      <w:r>
        <w:t>ndependent</w:t>
      </w:r>
      <w:proofErr w:type="gramEnd"/>
      <w:r>
        <w:t xml:space="preserve"> booking</w:t>
      </w:r>
      <w:r w:rsidR="001101E7">
        <w:t xml:space="preserve"> or a Joint booking with another school</w:t>
      </w:r>
      <w:r>
        <w:t>.</w:t>
      </w:r>
    </w:p>
    <w:p w14:paraId="7F8E4E9F" w14:textId="77777777" w:rsidR="00735ABB" w:rsidRDefault="00735ABB" w:rsidP="00802AA9">
      <w:pPr>
        <w:spacing w:line="264" w:lineRule="auto"/>
      </w:pPr>
    </w:p>
    <w:p w14:paraId="116B1523" w14:textId="77777777" w:rsidR="008B0914" w:rsidRDefault="008B0914" w:rsidP="00E327B3">
      <w:pPr>
        <w:spacing w:line="264" w:lineRule="auto"/>
      </w:pPr>
      <w:r w:rsidRPr="00726369">
        <w:rPr>
          <w:b/>
        </w:rPr>
        <w:t>Independent booking</w:t>
      </w:r>
    </w:p>
    <w:p w14:paraId="54169E6E" w14:textId="77777777" w:rsidR="001101E7" w:rsidRDefault="00726369" w:rsidP="00E327B3">
      <w:pPr>
        <w:spacing w:line="264" w:lineRule="auto"/>
      </w:pPr>
      <w:r>
        <w:t xml:space="preserve">An </w:t>
      </w:r>
      <w:r w:rsidRPr="008B0914">
        <w:t>Independent booking</w:t>
      </w:r>
      <w:r>
        <w:t xml:space="preserve"> means that your pupils </w:t>
      </w:r>
      <w:r w:rsidR="00035EED">
        <w:t xml:space="preserve">take part in their course separately from any other school in the </w:t>
      </w:r>
      <w:proofErr w:type="gramStart"/>
      <w:r w:rsidR="00035EED">
        <w:t>Centre, but</w:t>
      </w:r>
      <w:proofErr w:type="gramEnd"/>
      <w:r w:rsidR="00035EED">
        <w:t xml:space="preserve"> share </w:t>
      </w:r>
      <w:r>
        <w:t>facilities</w:t>
      </w:r>
      <w:r w:rsidR="001101E7">
        <w:t xml:space="preserve"> with</w:t>
      </w:r>
      <w:r w:rsidR="00035EED">
        <w:t xml:space="preserve"> them</w:t>
      </w:r>
      <w:r w:rsidR="001101E7">
        <w:t xml:space="preserve">.  </w:t>
      </w:r>
    </w:p>
    <w:p w14:paraId="02C8BD14" w14:textId="77777777" w:rsidR="008B0914" w:rsidRDefault="008B0914" w:rsidP="00E327B3">
      <w:pPr>
        <w:spacing w:line="264" w:lineRule="auto"/>
      </w:pPr>
    </w:p>
    <w:p w14:paraId="6A0A56F2" w14:textId="77777777" w:rsidR="008B0914" w:rsidRDefault="008B0914" w:rsidP="00E327B3">
      <w:pPr>
        <w:spacing w:line="264" w:lineRule="auto"/>
      </w:pPr>
      <w:r>
        <w:rPr>
          <w:b/>
        </w:rPr>
        <w:t>Joint</w:t>
      </w:r>
      <w:r w:rsidRPr="00726369">
        <w:rPr>
          <w:b/>
        </w:rPr>
        <w:t xml:space="preserve"> booking</w:t>
      </w:r>
    </w:p>
    <w:p w14:paraId="29B661FA" w14:textId="77777777" w:rsidR="00035EED" w:rsidRDefault="001101E7" w:rsidP="00AA0FE2">
      <w:pPr>
        <w:spacing w:line="264" w:lineRule="auto"/>
      </w:pPr>
      <w:r>
        <w:t xml:space="preserve">A </w:t>
      </w:r>
      <w:r w:rsidRPr="008B0914">
        <w:t>Joint booking</w:t>
      </w:r>
      <w:r>
        <w:t xml:space="preserve"> means that two or more schools get together to make a booking </w:t>
      </w:r>
      <w:r w:rsidR="00AA0FE2">
        <w:t xml:space="preserve">to </w:t>
      </w:r>
      <w:r w:rsidR="008C2AD6">
        <w:t>optimise numbers and</w:t>
      </w:r>
      <w:r w:rsidR="00AA0FE2">
        <w:t xml:space="preserve"> cost</w:t>
      </w:r>
      <w:r w:rsidR="008C2AD6">
        <w:t>s</w:t>
      </w:r>
      <w:r w:rsidR="00AA0FE2">
        <w:t xml:space="preserve">.  </w:t>
      </w:r>
      <w:r w:rsidR="00035EED">
        <w:t>Normally, pupils from the different schools will not share dormitories, but occasionally it</w:t>
      </w:r>
      <w:r w:rsidR="00035EED" w:rsidRPr="00035EED">
        <w:t xml:space="preserve"> </w:t>
      </w:r>
      <w:r w:rsidR="00035EED">
        <w:t>is necessary for one or two rooms to be shared.</w:t>
      </w:r>
    </w:p>
    <w:p w14:paraId="54D9790E" w14:textId="77777777" w:rsidR="00035EED" w:rsidRDefault="00035EED" w:rsidP="00AA0FE2">
      <w:pPr>
        <w:spacing w:line="264" w:lineRule="auto"/>
      </w:pPr>
    </w:p>
    <w:p w14:paraId="3605E1A2" w14:textId="77777777" w:rsidR="00035EED" w:rsidRDefault="00AA0FE2" w:rsidP="00AA0FE2">
      <w:pPr>
        <w:spacing w:line="264" w:lineRule="auto"/>
      </w:pPr>
      <w:r>
        <w:t xml:space="preserve">If </w:t>
      </w:r>
      <w:r w:rsidR="00735ABB">
        <w:t>there are at least 62</w:t>
      </w:r>
      <w:r w:rsidR="001101E7">
        <w:t xml:space="preserve"> pupils between the schools, you will </w:t>
      </w:r>
      <w:r>
        <w:t xml:space="preserve">have the Centre to yourselves </w:t>
      </w:r>
      <w:r w:rsidR="00771311">
        <w:t>and can bring up to 71 pupils or 72 if there is an even gender split.</w:t>
      </w:r>
    </w:p>
    <w:p w14:paraId="1AADCBA3" w14:textId="77777777" w:rsidR="00035EED" w:rsidRDefault="00035EED" w:rsidP="00AA0FE2">
      <w:pPr>
        <w:spacing w:line="26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648"/>
        <w:gridCol w:w="1524"/>
        <w:gridCol w:w="1525"/>
      </w:tblGrid>
      <w:tr w:rsidR="00527334" w:rsidRPr="00F51855" w14:paraId="3629316B" w14:textId="77777777" w:rsidTr="00527334">
        <w:trPr>
          <w:trHeight w:val="469"/>
        </w:trPr>
        <w:tc>
          <w:tcPr>
            <w:tcW w:w="2424" w:type="pct"/>
            <w:shd w:val="clear" w:color="auto" w:fill="auto"/>
          </w:tcPr>
          <w:p w14:paraId="1869E025" w14:textId="77777777" w:rsidR="00527334" w:rsidRPr="00F51855" w:rsidRDefault="00527334" w:rsidP="00E736E8">
            <w:pPr>
              <w:spacing w:line="264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925" w:type="pct"/>
            <w:shd w:val="clear" w:color="auto" w:fill="auto"/>
          </w:tcPr>
          <w:p w14:paraId="30C89A33" w14:textId="77777777" w:rsidR="00527334" w:rsidRPr="00F51855" w:rsidRDefault="00527334" w:rsidP="00E736E8">
            <w:p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Exclusive</w:t>
            </w:r>
          </w:p>
        </w:tc>
        <w:tc>
          <w:tcPr>
            <w:tcW w:w="830" w:type="pct"/>
            <w:shd w:val="clear" w:color="auto" w:fill="auto"/>
          </w:tcPr>
          <w:p w14:paraId="1AD05731" w14:textId="77777777" w:rsidR="00527334" w:rsidRPr="00F51855" w:rsidRDefault="00527334" w:rsidP="00E736E8">
            <w:pPr>
              <w:spacing w:line="264" w:lineRule="auto"/>
              <w:rPr>
                <w:rFonts w:cs="Arial"/>
                <w:b/>
                <w:szCs w:val="22"/>
              </w:rPr>
            </w:pPr>
            <w:r w:rsidRPr="00F51855">
              <w:rPr>
                <w:rFonts w:cs="Arial"/>
                <w:b/>
                <w:szCs w:val="22"/>
              </w:rPr>
              <w:t>Independent</w:t>
            </w:r>
          </w:p>
        </w:tc>
        <w:tc>
          <w:tcPr>
            <w:tcW w:w="821" w:type="pct"/>
            <w:shd w:val="clear" w:color="auto" w:fill="auto"/>
          </w:tcPr>
          <w:p w14:paraId="45ADC346" w14:textId="77777777" w:rsidR="00527334" w:rsidRPr="00F51855" w:rsidRDefault="00527334" w:rsidP="00E736E8">
            <w:pPr>
              <w:spacing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Joint</w:t>
            </w:r>
          </w:p>
        </w:tc>
      </w:tr>
      <w:tr w:rsidR="00527334" w:rsidRPr="00F51855" w14:paraId="18237108" w14:textId="77777777" w:rsidTr="00527334">
        <w:trPr>
          <w:trHeight w:val="469"/>
        </w:trPr>
        <w:tc>
          <w:tcPr>
            <w:tcW w:w="2424" w:type="pct"/>
            <w:shd w:val="clear" w:color="auto" w:fill="auto"/>
          </w:tcPr>
          <w:p w14:paraId="6559994E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Pupils</w:t>
            </w:r>
            <w:r w:rsidRPr="00F51855">
              <w:rPr>
                <w:rFonts w:cs="Arial"/>
                <w:szCs w:val="22"/>
              </w:rPr>
              <w:t xml:space="preserve"> share dormitories with students </w:t>
            </w:r>
            <w:r>
              <w:rPr>
                <w:rFonts w:cs="Arial"/>
                <w:szCs w:val="22"/>
              </w:rPr>
              <w:t xml:space="preserve">of the same gender </w:t>
            </w:r>
            <w:r w:rsidRPr="00F51855">
              <w:rPr>
                <w:rFonts w:cs="Arial"/>
                <w:szCs w:val="22"/>
              </w:rPr>
              <w:t xml:space="preserve">from another </w:t>
            </w:r>
            <w:r>
              <w:rPr>
                <w:rFonts w:cs="Arial"/>
                <w:szCs w:val="22"/>
              </w:rPr>
              <w:t>establishment.</w:t>
            </w:r>
          </w:p>
        </w:tc>
        <w:tc>
          <w:tcPr>
            <w:tcW w:w="925" w:type="pct"/>
            <w:shd w:val="clear" w:color="auto" w:fill="auto"/>
          </w:tcPr>
          <w:p w14:paraId="395B3175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7A853376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  <w:tc>
          <w:tcPr>
            <w:tcW w:w="821" w:type="pct"/>
            <w:shd w:val="clear" w:color="auto" w:fill="auto"/>
          </w:tcPr>
          <w:p w14:paraId="63142D87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Occasionally, when necessary</w:t>
            </w:r>
          </w:p>
        </w:tc>
      </w:tr>
      <w:tr w:rsidR="00527334" w:rsidRPr="00F51855" w14:paraId="2D43610B" w14:textId="77777777" w:rsidTr="00527334">
        <w:trPr>
          <w:trHeight w:val="469"/>
        </w:trPr>
        <w:tc>
          <w:tcPr>
            <w:tcW w:w="2424" w:type="pct"/>
            <w:shd w:val="clear" w:color="auto" w:fill="auto"/>
          </w:tcPr>
          <w:p w14:paraId="22B40358" w14:textId="77777777" w:rsidR="00527334" w:rsidRPr="00D01A2C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D01A2C">
              <w:rPr>
                <w:rFonts w:cs="Arial"/>
                <w:szCs w:val="22"/>
              </w:rPr>
              <w:t xml:space="preserve">Staff share </w:t>
            </w:r>
            <w:r>
              <w:rPr>
                <w:rFonts w:cs="Arial"/>
                <w:szCs w:val="22"/>
              </w:rPr>
              <w:t xml:space="preserve">a bedroom with staff </w:t>
            </w:r>
            <w:r w:rsidRPr="00D01A2C">
              <w:rPr>
                <w:rFonts w:cs="Arial"/>
                <w:szCs w:val="22"/>
              </w:rPr>
              <w:t xml:space="preserve">from another </w:t>
            </w:r>
            <w:r>
              <w:rPr>
                <w:rFonts w:cs="Arial"/>
                <w:szCs w:val="22"/>
              </w:rPr>
              <w:t>establishment.</w:t>
            </w:r>
          </w:p>
        </w:tc>
        <w:tc>
          <w:tcPr>
            <w:tcW w:w="925" w:type="pct"/>
            <w:shd w:val="clear" w:color="auto" w:fill="auto"/>
          </w:tcPr>
          <w:p w14:paraId="6EF10CB9" w14:textId="77777777" w:rsidR="00527334" w:rsidRPr="008A5AB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8A5AB5">
              <w:rPr>
                <w:rFonts w:cs="Arial"/>
                <w:szCs w:val="22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30821988" w14:textId="77777777" w:rsidR="00527334" w:rsidRPr="008A5AB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  <w:tc>
          <w:tcPr>
            <w:tcW w:w="821" w:type="pct"/>
            <w:shd w:val="clear" w:color="auto" w:fill="auto"/>
          </w:tcPr>
          <w:p w14:paraId="0A1A47DB" w14:textId="77777777" w:rsidR="00527334" w:rsidRPr="008A5AB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  <w:r>
              <w:rPr>
                <w:rFonts w:cs="Arial"/>
                <w:szCs w:val="22"/>
              </w:rPr>
              <w:t>, unless agreed in advance</w:t>
            </w:r>
          </w:p>
        </w:tc>
      </w:tr>
      <w:tr w:rsidR="00527334" w:rsidRPr="00F51855" w14:paraId="1F1AF1CE" w14:textId="77777777" w:rsidTr="00527334">
        <w:trPr>
          <w:trHeight w:val="469"/>
        </w:trPr>
        <w:tc>
          <w:tcPr>
            <w:tcW w:w="2424" w:type="pct"/>
            <w:shd w:val="clear" w:color="auto" w:fill="auto"/>
          </w:tcPr>
          <w:p w14:paraId="0CEEBD96" w14:textId="77777777" w:rsidR="00527334" w:rsidRPr="008A5AB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Staff share a twin bedroom with a colleague </w:t>
            </w:r>
            <w:r w:rsidRPr="008A5AB5">
              <w:rPr>
                <w:rFonts w:cs="Arial"/>
                <w:szCs w:val="22"/>
              </w:rPr>
              <w:t xml:space="preserve">from </w:t>
            </w:r>
            <w:r>
              <w:rPr>
                <w:rFonts w:cs="Arial"/>
                <w:szCs w:val="22"/>
              </w:rPr>
              <w:t xml:space="preserve">their </w:t>
            </w:r>
            <w:r w:rsidRPr="008A5AB5">
              <w:rPr>
                <w:rFonts w:cs="Arial"/>
                <w:szCs w:val="22"/>
              </w:rPr>
              <w:t xml:space="preserve">own </w:t>
            </w:r>
            <w:r>
              <w:rPr>
                <w:rFonts w:cs="Arial"/>
                <w:szCs w:val="22"/>
              </w:rPr>
              <w:t>establishment.</w:t>
            </w:r>
          </w:p>
        </w:tc>
        <w:tc>
          <w:tcPr>
            <w:tcW w:w="2576" w:type="pct"/>
            <w:gridSpan w:val="3"/>
            <w:shd w:val="clear" w:color="auto" w:fill="auto"/>
          </w:tcPr>
          <w:p w14:paraId="3DEBEE1F" w14:textId="694B835C" w:rsidR="00527334" w:rsidRPr="008A5AB5" w:rsidRDefault="00A60003" w:rsidP="00527334">
            <w:pPr>
              <w:spacing w:after="120" w:line="264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Yes, i</w:t>
            </w:r>
            <w:r w:rsidR="00527334">
              <w:rPr>
                <w:rFonts w:cs="Arial"/>
                <w:szCs w:val="22"/>
              </w:rPr>
              <w:t>f more than 6 staff in total</w:t>
            </w:r>
          </w:p>
        </w:tc>
      </w:tr>
      <w:tr w:rsidR="00527334" w:rsidRPr="00F51855" w14:paraId="35687631" w14:textId="77777777" w:rsidTr="00527334">
        <w:trPr>
          <w:trHeight w:val="469"/>
        </w:trPr>
        <w:tc>
          <w:tcPr>
            <w:tcW w:w="2424" w:type="pct"/>
            <w:shd w:val="clear" w:color="auto" w:fill="auto"/>
          </w:tcPr>
          <w:p w14:paraId="67BB3DCE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Pupils share</w:t>
            </w:r>
            <w:r w:rsidRPr="00F5185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activity</w:t>
            </w:r>
            <w:r w:rsidRPr="00F51855">
              <w:rPr>
                <w:rFonts w:cs="Arial"/>
                <w:szCs w:val="22"/>
              </w:rPr>
              <w:t xml:space="preserve"> groups with </w:t>
            </w:r>
            <w:r>
              <w:rPr>
                <w:rFonts w:cs="Arial"/>
                <w:szCs w:val="22"/>
              </w:rPr>
              <w:t>those</w:t>
            </w:r>
            <w:r w:rsidRPr="00F51855">
              <w:rPr>
                <w:rFonts w:cs="Arial"/>
                <w:szCs w:val="22"/>
              </w:rPr>
              <w:t xml:space="preserve"> from another school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14:paraId="153EFD1A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2C808C30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21" w:type="pct"/>
            <w:shd w:val="clear" w:color="auto" w:fill="auto"/>
          </w:tcPr>
          <w:p w14:paraId="5A8EDAB0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527334" w:rsidRPr="00F51855" w14:paraId="15F6343C" w14:textId="77777777" w:rsidTr="00527334">
        <w:trPr>
          <w:trHeight w:val="496"/>
        </w:trPr>
        <w:tc>
          <w:tcPr>
            <w:tcW w:w="2424" w:type="pct"/>
            <w:shd w:val="clear" w:color="auto" w:fill="auto"/>
          </w:tcPr>
          <w:p w14:paraId="038B10FE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Pr="00F51855">
              <w:rPr>
                <w:rFonts w:cs="Arial"/>
                <w:szCs w:val="22"/>
              </w:rPr>
              <w:t xml:space="preserve">taff sometimes accompany / supervise </w:t>
            </w:r>
            <w:r>
              <w:rPr>
                <w:rFonts w:cs="Arial"/>
                <w:szCs w:val="22"/>
              </w:rPr>
              <w:t>students</w:t>
            </w:r>
            <w:r w:rsidRPr="00F51855">
              <w:rPr>
                <w:rFonts w:cs="Arial"/>
                <w:szCs w:val="22"/>
              </w:rPr>
              <w:t xml:space="preserve"> from another </w:t>
            </w:r>
            <w:r>
              <w:rPr>
                <w:rFonts w:cs="Arial"/>
                <w:szCs w:val="22"/>
              </w:rPr>
              <w:t>establishment.</w:t>
            </w:r>
          </w:p>
        </w:tc>
        <w:tc>
          <w:tcPr>
            <w:tcW w:w="925" w:type="pct"/>
            <w:shd w:val="clear" w:color="auto" w:fill="auto"/>
          </w:tcPr>
          <w:p w14:paraId="091795ED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68DF5AAB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21" w:type="pct"/>
            <w:shd w:val="clear" w:color="auto" w:fill="auto"/>
          </w:tcPr>
          <w:p w14:paraId="5BA64D74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527334" w:rsidRPr="00F51855" w14:paraId="6AD47820" w14:textId="77777777" w:rsidTr="00527334">
        <w:trPr>
          <w:trHeight w:val="496"/>
        </w:trPr>
        <w:tc>
          <w:tcPr>
            <w:tcW w:w="2424" w:type="pct"/>
            <w:shd w:val="clear" w:color="auto" w:fill="auto"/>
          </w:tcPr>
          <w:p w14:paraId="213E9427" w14:textId="77777777" w:rsidR="00527334" w:rsidRPr="00F51855" w:rsidRDefault="00527334" w:rsidP="00527334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 xml:space="preserve">Centre facilities are shared with </w:t>
            </w:r>
            <w:r>
              <w:rPr>
                <w:rFonts w:cs="Arial"/>
                <w:szCs w:val="22"/>
              </w:rPr>
              <w:t>pupils</w:t>
            </w:r>
            <w:r w:rsidRPr="00F51855">
              <w:rPr>
                <w:rFonts w:cs="Arial"/>
                <w:szCs w:val="22"/>
              </w:rPr>
              <w:t xml:space="preserve"> from another </w:t>
            </w:r>
            <w:r>
              <w:rPr>
                <w:rFonts w:cs="Arial"/>
                <w:szCs w:val="22"/>
              </w:rPr>
              <w:t>establishment.</w:t>
            </w:r>
          </w:p>
        </w:tc>
        <w:tc>
          <w:tcPr>
            <w:tcW w:w="925" w:type="pct"/>
            <w:shd w:val="clear" w:color="auto" w:fill="auto"/>
          </w:tcPr>
          <w:p w14:paraId="78C6520A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6B463A79" w14:textId="365AE3A2" w:rsidR="00527334" w:rsidRPr="00F51855" w:rsidRDefault="009D3907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</w:p>
        </w:tc>
        <w:tc>
          <w:tcPr>
            <w:tcW w:w="821" w:type="pct"/>
            <w:shd w:val="clear" w:color="auto" w:fill="auto"/>
          </w:tcPr>
          <w:p w14:paraId="003E2314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527334" w:rsidRPr="00F51855" w14:paraId="130220C4" w14:textId="77777777" w:rsidTr="00527334">
        <w:trPr>
          <w:trHeight w:val="496"/>
        </w:trPr>
        <w:tc>
          <w:tcPr>
            <w:tcW w:w="2424" w:type="pct"/>
            <w:shd w:val="clear" w:color="auto" w:fill="auto"/>
          </w:tcPr>
          <w:p w14:paraId="741156DD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Derwent Hill grounds are shared with other users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14:paraId="583E5272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 xml:space="preserve"> Yes</w:t>
            </w:r>
          </w:p>
        </w:tc>
        <w:tc>
          <w:tcPr>
            <w:tcW w:w="830" w:type="pct"/>
            <w:shd w:val="clear" w:color="auto" w:fill="auto"/>
          </w:tcPr>
          <w:p w14:paraId="69EDCA7C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 w:rsidRPr="00F51855">
              <w:rPr>
                <w:rFonts w:cs="Arial"/>
                <w:szCs w:val="22"/>
              </w:rPr>
              <w:t>Yes</w:t>
            </w:r>
          </w:p>
        </w:tc>
        <w:tc>
          <w:tcPr>
            <w:tcW w:w="821" w:type="pct"/>
            <w:shd w:val="clear" w:color="auto" w:fill="auto"/>
          </w:tcPr>
          <w:p w14:paraId="627DE68A" w14:textId="77777777" w:rsidR="00527334" w:rsidRPr="00F51855" w:rsidRDefault="00527334" w:rsidP="00E736E8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AD7B31" w:rsidRPr="006F183F" w14:paraId="6030CB20" w14:textId="77777777" w:rsidTr="00AD7B31">
        <w:trPr>
          <w:trHeight w:val="496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B081" w14:textId="77777777" w:rsidR="00AD7B31" w:rsidRPr="006F183F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Separate gender specific changing rooms for pupils and staff.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32A3" w14:textId="77777777" w:rsidR="00AD7B31" w:rsidRPr="006F183F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4EA9" w14:textId="77777777" w:rsidR="00AD7B31" w:rsidRPr="006F183F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931E" w14:textId="77777777" w:rsidR="00AD7B31" w:rsidRPr="006F183F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  <w:tr w:rsidR="00AD7B31" w:rsidRPr="006F183F" w14:paraId="0379FCC3" w14:textId="77777777" w:rsidTr="00AD7B31">
        <w:trPr>
          <w:trHeight w:val="496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73AD" w14:textId="77777777" w:rsidR="00AD7B31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Separate changing rooms for each school on departure day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0A7" w14:textId="77777777" w:rsidR="00AD7B31" w:rsidRDefault="00DD3C9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411D" w14:textId="77777777" w:rsidR="00AD7B31" w:rsidRPr="006F183F" w:rsidRDefault="00AD7B3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C316" w14:textId="77777777" w:rsidR="00AD7B31" w:rsidRPr="006F183F" w:rsidRDefault="00DD3C91" w:rsidP="00AD7B31">
            <w:pPr>
              <w:spacing w:after="12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</w:t>
            </w:r>
          </w:p>
        </w:tc>
      </w:tr>
    </w:tbl>
    <w:p w14:paraId="79E2692D" w14:textId="77777777" w:rsidR="00527334" w:rsidRDefault="00527334" w:rsidP="003579F1">
      <w:pPr>
        <w:spacing w:line="264" w:lineRule="auto"/>
      </w:pPr>
    </w:p>
    <w:sectPr w:rsidR="00527334" w:rsidSect="00E6168A">
      <w:footerReference w:type="default" r:id="rId14"/>
      <w:headerReference w:type="first" r:id="rId15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853B" w14:textId="77777777" w:rsidR="003E7DA4" w:rsidRDefault="003E7DA4">
      <w:r>
        <w:separator/>
      </w:r>
    </w:p>
  </w:endnote>
  <w:endnote w:type="continuationSeparator" w:id="0">
    <w:p w14:paraId="50066A69" w14:textId="77777777" w:rsidR="003E7DA4" w:rsidRDefault="003E7DA4">
      <w:r>
        <w:continuationSeparator/>
      </w:r>
    </w:p>
  </w:endnote>
  <w:endnote w:type="continuationNotice" w:id="1">
    <w:p w14:paraId="5B59C092" w14:textId="77777777" w:rsidR="0008625A" w:rsidRDefault="0008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C299" w14:textId="77777777" w:rsidR="00E83B9B" w:rsidRPr="00E83B9B" w:rsidRDefault="00485CD6" w:rsidP="00E83B9B">
    <w:pPr>
      <w:pStyle w:val="Footer"/>
      <w:jc w:val="right"/>
      <w:rPr>
        <w:sz w:val="16"/>
      </w:rPr>
    </w:pPr>
    <w:r>
      <w:rPr>
        <w:sz w:val="16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448C" w14:textId="77777777" w:rsidR="003E7DA4" w:rsidRDefault="003E7DA4">
      <w:r>
        <w:separator/>
      </w:r>
    </w:p>
  </w:footnote>
  <w:footnote w:type="continuationSeparator" w:id="0">
    <w:p w14:paraId="4C3B2384" w14:textId="77777777" w:rsidR="003E7DA4" w:rsidRDefault="003E7DA4">
      <w:r>
        <w:continuationSeparator/>
      </w:r>
    </w:p>
  </w:footnote>
  <w:footnote w:type="continuationNotice" w:id="1">
    <w:p w14:paraId="7044FD7D" w14:textId="77777777" w:rsidR="0008625A" w:rsidRDefault="0008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A20B" w14:textId="77777777" w:rsidR="00E6168A" w:rsidRDefault="00E6168A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6BDF13D7" wp14:editId="68091963">
          <wp:simplePos x="0" y="0"/>
          <wp:positionH relativeFrom="column">
            <wp:posOffset>-1120140</wp:posOffset>
          </wp:positionH>
          <wp:positionV relativeFrom="paragraph">
            <wp:posOffset>-474980</wp:posOffset>
          </wp:positionV>
          <wp:extent cx="7679055" cy="10858500"/>
          <wp:effectExtent l="0" t="0" r="0" b="0"/>
          <wp:wrapNone/>
          <wp:docPr id="2" name="Picture 2" descr="letterhead (tem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(temp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5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247"/>
    <w:multiLevelType w:val="hybridMultilevel"/>
    <w:tmpl w:val="12BE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A35"/>
    <w:multiLevelType w:val="hybridMultilevel"/>
    <w:tmpl w:val="865626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FE4694"/>
    <w:multiLevelType w:val="hybridMultilevel"/>
    <w:tmpl w:val="C1B0F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545088">
    <w:abstractNumId w:val="0"/>
  </w:num>
  <w:num w:numId="2" w16cid:durableId="1849900581">
    <w:abstractNumId w:val="2"/>
  </w:num>
  <w:num w:numId="3" w16cid:durableId="133584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B3"/>
    <w:rsid w:val="0001130A"/>
    <w:rsid w:val="00035EED"/>
    <w:rsid w:val="0004418B"/>
    <w:rsid w:val="00062780"/>
    <w:rsid w:val="0006518D"/>
    <w:rsid w:val="0008625A"/>
    <w:rsid w:val="00090681"/>
    <w:rsid w:val="00093786"/>
    <w:rsid w:val="000D0A60"/>
    <w:rsid w:val="000F0BF6"/>
    <w:rsid w:val="000F74A9"/>
    <w:rsid w:val="001073A4"/>
    <w:rsid w:val="001101E7"/>
    <w:rsid w:val="0015150D"/>
    <w:rsid w:val="0015435F"/>
    <w:rsid w:val="0017340B"/>
    <w:rsid w:val="00177313"/>
    <w:rsid w:val="001C4E2D"/>
    <w:rsid w:val="002174A9"/>
    <w:rsid w:val="0022091A"/>
    <w:rsid w:val="00230BBA"/>
    <w:rsid w:val="00237E25"/>
    <w:rsid w:val="0024181B"/>
    <w:rsid w:val="002461F2"/>
    <w:rsid w:val="00283A16"/>
    <w:rsid w:val="003012D8"/>
    <w:rsid w:val="00316A19"/>
    <w:rsid w:val="003527D9"/>
    <w:rsid w:val="003579F1"/>
    <w:rsid w:val="00370A28"/>
    <w:rsid w:val="00372D4B"/>
    <w:rsid w:val="00377439"/>
    <w:rsid w:val="0038145A"/>
    <w:rsid w:val="0039523D"/>
    <w:rsid w:val="00397CF2"/>
    <w:rsid w:val="003B1D60"/>
    <w:rsid w:val="003B58D8"/>
    <w:rsid w:val="003E7DA4"/>
    <w:rsid w:val="003F392C"/>
    <w:rsid w:val="004156B1"/>
    <w:rsid w:val="00427D77"/>
    <w:rsid w:val="00446694"/>
    <w:rsid w:val="00477A8A"/>
    <w:rsid w:val="00483A34"/>
    <w:rsid w:val="00485CD6"/>
    <w:rsid w:val="004A3FDA"/>
    <w:rsid w:val="004B08FA"/>
    <w:rsid w:val="004D059A"/>
    <w:rsid w:val="004E4BD2"/>
    <w:rsid w:val="005225B3"/>
    <w:rsid w:val="005233C2"/>
    <w:rsid w:val="00527334"/>
    <w:rsid w:val="00550074"/>
    <w:rsid w:val="005507F3"/>
    <w:rsid w:val="00552004"/>
    <w:rsid w:val="0056317A"/>
    <w:rsid w:val="00575B93"/>
    <w:rsid w:val="00596175"/>
    <w:rsid w:val="005D4666"/>
    <w:rsid w:val="00605AEF"/>
    <w:rsid w:val="00606924"/>
    <w:rsid w:val="00610411"/>
    <w:rsid w:val="0061277F"/>
    <w:rsid w:val="00621D1C"/>
    <w:rsid w:val="006346DD"/>
    <w:rsid w:val="006352B5"/>
    <w:rsid w:val="00650B26"/>
    <w:rsid w:val="00650E80"/>
    <w:rsid w:val="00650F92"/>
    <w:rsid w:val="00674780"/>
    <w:rsid w:val="006859B6"/>
    <w:rsid w:val="00694275"/>
    <w:rsid w:val="00697555"/>
    <w:rsid w:val="006A0228"/>
    <w:rsid w:val="006B5D37"/>
    <w:rsid w:val="006C17B8"/>
    <w:rsid w:val="006D30B5"/>
    <w:rsid w:val="006D46DC"/>
    <w:rsid w:val="006D58F7"/>
    <w:rsid w:val="006E292E"/>
    <w:rsid w:val="006F546E"/>
    <w:rsid w:val="00713B81"/>
    <w:rsid w:val="0072304A"/>
    <w:rsid w:val="00726369"/>
    <w:rsid w:val="00731B23"/>
    <w:rsid w:val="00735ABB"/>
    <w:rsid w:val="00767ADC"/>
    <w:rsid w:val="00771311"/>
    <w:rsid w:val="00771324"/>
    <w:rsid w:val="0077584B"/>
    <w:rsid w:val="00787107"/>
    <w:rsid w:val="007B1174"/>
    <w:rsid w:val="007F0AB8"/>
    <w:rsid w:val="007F79A3"/>
    <w:rsid w:val="008019D9"/>
    <w:rsid w:val="00802AA9"/>
    <w:rsid w:val="00835EFB"/>
    <w:rsid w:val="00862953"/>
    <w:rsid w:val="00875B35"/>
    <w:rsid w:val="008926FA"/>
    <w:rsid w:val="00897934"/>
    <w:rsid w:val="008B0914"/>
    <w:rsid w:val="008C0B2F"/>
    <w:rsid w:val="008C2AD6"/>
    <w:rsid w:val="008D1E2E"/>
    <w:rsid w:val="008E1CC7"/>
    <w:rsid w:val="008F38C9"/>
    <w:rsid w:val="0095670E"/>
    <w:rsid w:val="009733BE"/>
    <w:rsid w:val="009818A5"/>
    <w:rsid w:val="00983168"/>
    <w:rsid w:val="009A0AF7"/>
    <w:rsid w:val="009A7EC5"/>
    <w:rsid w:val="009C6E36"/>
    <w:rsid w:val="009D3907"/>
    <w:rsid w:val="00A13DC1"/>
    <w:rsid w:val="00A40BCE"/>
    <w:rsid w:val="00A4335D"/>
    <w:rsid w:val="00A60003"/>
    <w:rsid w:val="00A93274"/>
    <w:rsid w:val="00AA0440"/>
    <w:rsid w:val="00AA0FE2"/>
    <w:rsid w:val="00AA7941"/>
    <w:rsid w:val="00AD01BA"/>
    <w:rsid w:val="00AD7B31"/>
    <w:rsid w:val="00AF0FB2"/>
    <w:rsid w:val="00B04DE2"/>
    <w:rsid w:val="00B07444"/>
    <w:rsid w:val="00B16412"/>
    <w:rsid w:val="00B23091"/>
    <w:rsid w:val="00B32511"/>
    <w:rsid w:val="00B36F25"/>
    <w:rsid w:val="00B400DD"/>
    <w:rsid w:val="00B41FF9"/>
    <w:rsid w:val="00B71297"/>
    <w:rsid w:val="00BD4842"/>
    <w:rsid w:val="00C413E8"/>
    <w:rsid w:val="00C72690"/>
    <w:rsid w:val="00C80E7A"/>
    <w:rsid w:val="00C87F1F"/>
    <w:rsid w:val="00CB685C"/>
    <w:rsid w:val="00CC0CC1"/>
    <w:rsid w:val="00CE6A70"/>
    <w:rsid w:val="00D258B3"/>
    <w:rsid w:val="00D678EC"/>
    <w:rsid w:val="00D84C3B"/>
    <w:rsid w:val="00D9227A"/>
    <w:rsid w:val="00D92DD2"/>
    <w:rsid w:val="00DD3C91"/>
    <w:rsid w:val="00DD50AF"/>
    <w:rsid w:val="00DE4FA1"/>
    <w:rsid w:val="00DF0688"/>
    <w:rsid w:val="00E10220"/>
    <w:rsid w:val="00E110CE"/>
    <w:rsid w:val="00E30FBD"/>
    <w:rsid w:val="00E327B3"/>
    <w:rsid w:val="00E3729C"/>
    <w:rsid w:val="00E50A74"/>
    <w:rsid w:val="00E55A74"/>
    <w:rsid w:val="00E6168A"/>
    <w:rsid w:val="00E83B9B"/>
    <w:rsid w:val="00E91135"/>
    <w:rsid w:val="00E91BA9"/>
    <w:rsid w:val="00EB6F0F"/>
    <w:rsid w:val="00ED614D"/>
    <w:rsid w:val="00EE5E01"/>
    <w:rsid w:val="00EF683B"/>
    <w:rsid w:val="00F00B44"/>
    <w:rsid w:val="00F26A89"/>
    <w:rsid w:val="00F548D3"/>
    <w:rsid w:val="00F825C9"/>
    <w:rsid w:val="00F95B5A"/>
    <w:rsid w:val="00F9619B"/>
    <w:rsid w:val="00FB63B8"/>
    <w:rsid w:val="00FC20C7"/>
    <w:rsid w:val="00FC43FC"/>
    <w:rsid w:val="00FD5448"/>
    <w:rsid w:val="00FD7BE1"/>
    <w:rsid w:val="00FF1881"/>
    <w:rsid w:val="1891F63B"/>
    <w:rsid w:val="227F8018"/>
    <w:rsid w:val="31EE5BC5"/>
    <w:rsid w:val="4888F7EE"/>
    <w:rsid w:val="4CA51072"/>
    <w:rsid w:val="4E11068C"/>
    <w:rsid w:val="5321E0FA"/>
    <w:rsid w:val="65188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1C78B"/>
  <w15:docId w15:val="{AF2CBDB6-CF71-4269-B72B-AB9AED6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A0FE2"/>
    <w:pPr>
      <w:ind w:left="720"/>
      <w:contextualSpacing/>
    </w:pPr>
  </w:style>
  <w:style w:type="character" w:styleId="Hyperlink">
    <w:name w:val="Hyperlink"/>
    <w:basedOn w:val="DefaultParagraphFont"/>
    <w:rsid w:val="006127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12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rwenthill.co.uk/schools/courses/outdoor-activity-weeken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erwenthill.co.uk/schools/courses/explor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rwenthill.co.uk/schools/courses/discov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8" ma:contentTypeDescription="Create a new document." ma:contentTypeScope="" ma:versionID="08229429c3c6bbccfa3e7e1e390d28b2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68be31f18e7be54832445cef6c6b180e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ab6380-08b2-404f-8566-0b67f9b9cd94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Props1.xml><?xml version="1.0" encoding="utf-8"?>
<ds:datastoreItem xmlns:ds="http://schemas.openxmlformats.org/officeDocument/2006/customXml" ds:itemID="{F950094A-32E2-4C72-A622-925ED1DA4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7476A-55B5-4B55-A53A-DE4B5E14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1E607-8323-48B2-8F11-17CB8C809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F45B-F153-4B12-A610-A26A7A81D22C}">
  <ds:schemaRefs>
    <ds:schemaRef ds:uri="http://schemas.microsoft.com/office/2006/documentManagement/types"/>
    <ds:schemaRef ds:uri="df3796ce-7c0f-4a1a-ae4c-6eb95a3718b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f25deeca-256d-49db-938e-245f5516e02c"/>
    <ds:schemaRef ds:uri="0862de27-bf98-42c3-9af4-81ee2ef416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5169</Characters>
  <Application>Microsoft Office Word</Application>
  <DocSecurity>0</DocSecurity>
  <Lines>43</Lines>
  <Paragraphs>12</Paragraphs>
  <ScaleCrop>false</ScaleCrop>
  <Company>Hemisphere</Company>
  <LinksUpToDate>false</LinksUpToDate>
  <CharactersWithSpaces>6063</CharactersWithSpaces>
  <SharedDoc>false</SharedDoc>
  <HLinks>
    <vt:vector size="18" baseType="variant">
      <vt:variant>
        <vt:i4>7143464</vt:i4>
      </vt:variant>
      <vt:variant>
        <vt:i4>6</vt:i4>
      </vt:variant>
      <vt:variant>
        <vt:i4>0</vt:i4>
      </vt:variant>
      <vt:variant>
        <vt:i4>5</vt:i4>
      </vt:variant>
      <vt:variant>
        <vt:lpwstr>http://derwenthill.co.uk/schools/courses/outdoor-activity-weekend/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http://derwenthill.co.uk/schools/courses/explore/</vt:lpwstr>
      </vt:variant>
      <vt:variant>
        <vt:lpwstr/>
      </vt:variant>
      <vt:variant>
        <vt:i4>2883708</vt:i4>
      </vt:variant>
      <vt:variant>
        <vt:i4>0</vt:i4>
      </vt:variant>
      <vt:variant>
        <vt:i4>0</vt:i4>
      </vt:variant>
      <vt:variant>
        <vt:i4>5</vt:i4>
      </vt:variant>
      <vt:variant>
        <vt:lpwstr>http://derwenthill.co.uk/schools/courses/discover/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Recipient</dc:title>
  <dc:creator>Barbara Barrett</dc:creator>
  <cp:lastModifiedBy>Jill Nixon</cp:lastModifiedBy>
  <cp:revision>2</cp:revision>
  <cp:lastPrinted>2024-02-21T12:47:00Z</cp:lastPrinted>
  <dcterms:created xsi:type="dcterms:W3CDTF">2024-10-16T14:49:00Z</dcterms:created>
  <dcterms:modified xsi:type="dcterms:W3CDTF">2024-10-16T14:49:00Z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  <property fmtid="{D5CDD505-2E9C-101B-9397-08002B2CF9AE}" pid="3" name="MediaServiceImageTags">
    <vt:lpwstr/>
  </property>
</Properties>
</file>